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874"/>
        <w:gridCol w:w="874"/>
        <w:gridCol w:w="874"/>
        <w:gridCol w:w="2623"/>
        <w:gridCol w:w="1748"/>
        <w:gridCol w:w="1749"/>
      </w:tblGrid>
      <w:tr w:rsidR="005E0BFF" w:rsidRPr="002619E9" w14:paraId="3098BD2A" w14:textId="77777777" w:rsidTr="005E0BFF">
        <w:trPr>
          <w:trHeight w:val="446"/>
        </w:trPr>
        <w:tc>
          <w:tcPr>
            <w:tcW w:w="1748" w:type="dxa"/>
            <w:shd w:val="clear" w:color="auto" w:fill="F2F2F2" w:themeFill="background1" w:themeFillShade="F2"/>
            <w:vAlign w:val="center"/>
          </w:tcPr>
          <w:p w14:paraId="62780AA6" w14:textId="646C25E7" w:rsidR="005E0BFF" w:rsidRPr="005E0BFF" w:rsidRDefault="005E0BFF" w:rsidP="005E0BFF">
            <w:pPr>
              <w:pStyle w:val="CUERPOTEXTO"/>
              <w:spacing w:line="276" w:lineRule="auto"/>
              <w:ind w:firstLine="0"/>
              <w:contextualSpacing/>
              <w:jc w:val="center"/>
              <w:rPr>
                <w:rFonts w:ascii="Arial" w:eastAsia="Calibri" w:hAnsi="Arial" w:cs="Arial"/>
                <w:b/>
                <w:sz w:val="22"/>
                <w:szCs w:val="22"/>
                <w:lang w:eastAsia="en-US"/>
              </w:rPr>
            </w:pPr>
            <w:r w:rsidRPr="005E0BFF">
              <w:rPr>
                <w:rFonts w:ascii="Arial" w:eastAsia="Calibri" w:hAnsi="Arial" w:cs="Arial"/>
                <w:b/>
                <w:sz w:val="22"/>
                <w:szCs w:val="22"/>
                <w:lang w:eastAsia="en-US"/>
              </w:rPr>
              <w:t>FECHA</w:t>
            </w:r>
          </w:p>
        </w:tc>
        <w:tc>
          <w:tcPr>
            <w:tcW w:w="874" w:type="dxa"/>
            <w:vAlign w:val="center"/>
          </w:tcPr>
          <w:p w14:paraId="323D6B0E" w14:textId="72540B7B" w:rsidR="005E0BFF" w:rsidRPr="005E0BFF" w:rsidRDefault="005E0BFF" w:rsidP="005E0BFF">
            <w:pPr>
              <w:pStyle w:val="CUERPOTEXTO"/>
              <w:spacing w:line="276" w:lineRule="auto"/>
              <w:ind w:firstLine="0"/>
              <w:contextualSpacing/>
              <w:jc w:val="center"/>
              <w:rPr>
                <w:rFonts w:ascii="Arial" w:eastAsia="Calibri" w:hAnsi="Arial" w:cs="Arial"/>
                <w:b/>
                <w:sz w:val="22"/>
                <w:szCs w:val="22"/>
                <w:lang w:eastAsia="en-US"/>
              </w:rPr>
            </w:pPr>
            <w:r w:rsidRPr="005E0BFF">
              <w:rPr>
                <w:rFonts w:ascii="Arial" w:eastAsia="Calibri" w:hAnsi="Arial" w:cs="Arial"/>
                <w:b/>
                <w:color w:val="BFBFBF" w:themeColor="background1" w:themeShade="BF"/>
                <w:sz w:val="22"/>
                <w:szCs w:val="22"/>
                <w:lang w:eastAsia="en-US"/>
              </w:rPr>
              <w:t>DD</w:t>
            </w:r>
          </w:p>
        </w:tc>
        <w:tc>
          <w:tcPr>
            <w:tcW w:w="874" w:type="dxa"/>
            <w:vAlign w:val="center"/>
          </w:tcPr>
          <w:p w14:paraId="7940CF60" w14:textId="1D49656C" w:rsidR="005E0BFF" w:rsidRPr="005E0BFF" w:rsidRDefault="005E0BFF" w:rsidP="005E0BFF">
            <w:pPr>
              <w:pStyle w:val="CUERPOTEXTO"/>
              <w:spacing w:line="276" w:lineRule="auto"/>
              <w:ind w:firstLine="0"/>
              <w:contextualSpacing/>
              <w:jc w:val="center"/>
              <w:rPr>
                <w:rFonts w:ascii="Arial" w:eastAsia="Calibri" w:hAnsi="Arial" w:cs="Arial"/>
                <w:b/>
                <w:sz w:val="22"/>
                <w:szCs w:val="22"/>
                <w:lang w:eastAsia="en-US"/>
              </w:rPr>
            </w:pPr>
            <w:r w:rsidRPr="005E0BFF">
              <w:rPr>
                <w:rFonts w:ascii="Arial" w:eastAsia="Calibri" w:hAnsi="Arial" w:cs="Arial"/>
                <w:b/>
                <w:color w:val="BFBFBF" w:themeColor="background1" w:themeShade="BF"/>
                <w:sz w:val="22"/>
                <w:szCs w:val="22"/>
                <w:lang w:eastAsia="en-US"/>
              </w:rPr>
              <w:t>MM</w:t>
            </w:r>
          </w:p>
        </w:tc>
        <w:tc>
          <w:tcPr>
            <w:tcW w:w="874" w:type="dxa"/>
            <w:tcBorders>
              <w:right w:val="single" w:sz="4" w:space="0" w:color="auto"/>
            </w:tcBorders>
            <w:vAlign w:val="center"/>
          </w:tcPr>
          <w:p w14:paraId="4660872B" w14:textId="23C49DE7" w:rsidR="005E0BFF" w:rsidRPr="005E0BFF" w:rsidRDefault="005E0BFF" w:rsidP="005E0BFF">
            <w:pPr>
              <w:pStyle w:val="CUERPOTEXTO"/>
              <w:spacing w:line="276" w:lineRule="auto"/>
              <w:ind w:firstLine="0"/>
              <w:contextualSpacing/>
              <w:jc w:val="center"/>
              <w:rPr>
                <w:rFonts w:ascii="Arial" w:eastAsia="Calibri" w:hAnsi="Arial" w:cs="Arial"/>
                <w:b/>
                <w:sz w:val="22"/>
                <w:szCs w:val="22"/>
                <w:lang w:eastAsia="en-US"/>
              </w:rPr>
            </w:pPr>
            <w:r w:rsidRPr="005E0BFF">
              <w:rPr>
                <w:rFonts w:ascii="Arial" w:eastAsia="Calibri" w:hAnsi="Arial" w:cs="Arial"/>
                <w:b/>
                <w:color w:val="BFBFBF" w:themeColor="background1" w:themeShade="BF"/>
                <w:sz w:val="22"/>
                <w:szCs w:val="22"/>
                <w:lang w:eastAsia="en-US"/>
              </w:rPr>
              <w:t>AAAA</w:t>
            </w:r>
          </w:p>
        </w:tc>
        <w:tc>
          <w:tcPr>
            <w:tcW w:w="2623" w:type="dxa"/>
            <w:tcBorders>
              <w:top w:val="nil"/>
              <w:left w:val="single" w:sz="4" w:space="0" w:color="auto"/>
              <w:bottom w:val="nil"/>
              <w:right w:val="single" w:sz="4" w:space="0" w:color="auto"/>
            </w:tcBorders>
            <w:vAlign w:val="center"/>
          </w:tcPr>
          <w:p w14:paraId="3D7971A4" w14:textId="77777777" w:rsidR="005E0BFF" w:rsidRPr="005E0BFF" w:rsidRDefault="005E0BFF" w:rsidP="005E0BFF">
            <w:pPr>
              <w:pStyle w:val="CUERPOTEXTO"/>
              <w:spacing w:line="276" w:lineRule="auto"/>
              <w:ind w:firstLine="0"/>
              <w:contextualSpacing/>
              <w:jc w:val="center"/>
              <w:rPr>
                <w:rFonts w:ascii="Arial" w:eastAsia="Calibri" w:hAnsi="Arial" w:cs="Arial"/>
                <w:b/>
                <w:sz w:val="22"/>
                <w:szCs w:val="22"/>
                <w:lang w:eastAsia="en-US"/>
              </w:rPr>
            </w:pPr>
          </w:p>
        </w:tc>
        <w:tc>
          <w:tcPr>
            <w:tcW w:w="1748" w:type="dxa"/>
            <w:tcBorders>
              <w:left w:val="single" w:sz="4" w:space="0" w:color="auto"/>
            </w:tcBorders>
            <w:shd w:val="clear" w:color="auto" w:fill="F2F2F2" w:themeFill="background1" w:themeFillShade="F2"/>
            <w:vAlign w:val="center"/>
          </w:tcPr>
          <w:p w14:paraId="433F1E4C" w14:textId="5EF271B4" w:rsidR="005E0BFF" w:rsidRPr="005E0BFF" w:rsidRDefault="005E0BFF" w:rsidP="005E0BFF">
            <w:pPr>
              <w:pStyle w:val="CUERPOTEXTO"/>
              <w:spacing w:line="276" w:lineRule="auto"/>
              <w:ind w:firstLine="0"/>
              <w:contextualSpacing/>
              <w:jc w:val="center"/>
              <w:rPr>
                <w:rFonts w:ascii="Arial" w:eastAsia="Calibri" w:hAnsi="Arial" w:cs="Arial"/>
                <w:b/>
                <w:sz w:val="22"/>
                <w:szCs w:val="22"/>
                <w:lang w:eastAsia="en-US"/>
              </w:rPr>
            </w:pPr>
            <w:r>
              <w:rPr>
                <w:rFonts w:ascii="Arial" w:eastAsia="Calibri" w:hAnsi="Arial" w:cs="Arial"/>
                <w:b/>
                <w:sz w:val="22"/>
                <w:szCs w:val="22"/>
                <w:lang w:eastAsia="en-US"/>
              </w:rPr>
              <w:t>Número</w:t>
            </w:r>
          </w:p>
        </w:tc>
        <w:tc>
          <w:tcPr>
            <w:tcW w:w="1749" w:type="dxa"/>
            <w:vAlign w:val="center"/>
          </w:tcPr>
          <w:p w14:paraId="4131DA83" w14:textId="1AFE9816" w:rsidR="005E0BFF" w:rsidRPr="005E0BFF" w:rsidRDefault="005E0BFF" w:rsidP="005E0BFF">
            <w:pPr>
              <w:pStyle w:val="CUERPOTEXTO"/>
              <w:spacing w:line="276" w:lineRule="auto"/>
              <w:ind w:firstLine="0"/>
              <w:contextualSpacing/>
              <w:jc w:val="center"/>
              <w:rPr>
                <w:rFonts w:ascii="Arial" w:eastAsia="Calibri" w:hAnsi="Arial" w:cs="Arial"/>
                <w:b/>
                <w:sz w:val="22"/>
                <w:szCs w:val="22"/>
                <w:lang w:eastAsia="en-US"/>
              </w:rPr>
            </w:pPr>
          </w:p>
        </w:tc>
      </w:tr>
    </w:tbl>
    <w:p w14:paraId="04CF9CD9" w14:textId="77777777" w:rsidR="00D446D6" w:rsidRPr="00D446D6" w:rsidRDefault="00D446D6" w:rsidP="00D446D6">
      <w:pPr>
        <w:spacing w:after="0"/>
        <w:rPr>
          <w:sz w:val="1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5E0BFF" w:rsidRPr="002619E9" w14:paraId="569B2FF5" w14:textId="77777777" w:rsidTr="00D446D6">
        <w:trPr>
          <w:trHeight w:val="653"/>
        </w:trPr>
        <w:tc>
          <w:tcPr>
            <w:tcW w:w="10490" w:type="dxa"/>
          </w:tcPr>
          <w:p w14:paraId="7BB91A32" w14:textId="468E55AE" w:rsidR="005E0BFF" w:rsidRPr="00CE5701" w:rsidRDefault="005E0BFF" w:rsidP="00D446D6">
            <w:pPr>
              <w:pStyle w:val="CUERPOTEXTO"/>
              <w:spacing w:after="0" w:line="276" w:lineRule="auto"/>
              <w:ind w:firstLine="0"/>
              <w:contextualSpacing/>
              <w:rPr>
                <w:rFonts w:ascii="Arial" w:eastAsia="Calibri" w:hAnsi="Arial" w:cs="Arial"/>
                <w:sz w:val="22"/>
                <w:szCs w:val="22"/>
                <w:lang w:eastAsia="en-US"/>
              </w:rPr>
            </w:pPr>
            <w:r w:rsidRPr="00CE5701">
              <w:rPr>
                <w:rFonts w:ascii="Arial" w:eastAsia="Calibri" w:hAnsi="Arial" w:cs="Arial"/>
                <w:sz w:val="22"/>
                <w:szCs w:val="22"/>
                <w:lang w:eastAsia="en-US"/>
              </w:rPr>
              <w:t>A continuación, se discriminan las partidas objeto de depuración</w:t>
            </w:r>
            <w:r>
              <w:rPr>
                <w:rFonts w:ascii="Arial" w:eastAsia="Calibri" w:hAnsi="Arial" w:cs="Arial"/>
                <w:sz w:val="22"/>
                <w:szCs w:val="22"/>
                <w:lang w:eastAsia="en-US"/>
              </w:rPr>
              <w:t xml:space="preserve">, las cuales tienen </w:t>
            </w:r>
            <w:r w:rsidRPr="00CE5701">
              <w:rPr>
                <w:rFonts w:ascii="Arial" w:eastAsia="Calibri" w:hAnsi="Arial" w:cs="Arial"/>
                <w:sz w:val="22"/>
                <w:szCs w:val="22"/>
                <w:lang w:eastAsia="en-US"/>
              </w:rPr>
              <w:t>definido el bien</w:t>
            </w:r>
            <w:r>
              <w:rPr>
                <w:rFonts w:ascii="Arial" w:eastAsia="Calibri" w:hAnsi="Arial" w:cs="Arial"/>
                <w:sz w:val="22"/>
                <w:szCs w:val="22"/>
                <w:lang w:eastAsia="en-US"/>
              </w:rPr>
              <w:t xml:space="preserve">, </w:t>
            </w:r>
            <w:r w:rsidRPr="00CE5701">
              <w:rPr>
                <w:rFonts w:ascii="Arial" w:eastAsia="Calibri" w:hAnsi="Arial" w:cs="Arial"/>
                <w:sz w:val="22"/>
                <w:szCs w:val="22"/>
                <w:lang w:eastAsia="en-US"/>
              </w:rPr>
              <w:t>derecho y</w:t>
            </w:r>
            <w:r>
              <w:rPr>
                <w:rFonts w:ascii="Arial" w:eastAsia="Calibri" w:hAnsi="Arial" w:cs="Arial"/>
                <w:sz w:val="22"/>
                <w:szCs w:val="22"/>
                <w:lang w:eastAsia="en-US"/>
              </w:rPr>
              <w:t>/</w:t>
            </w:r>
            <w:r w:rsidRPr="00CE5701">
              <w:rPr>
                <w:rFonts w:ascii="Arial" w:eastAsia="Calibri" w:hAnsi="Arial" w:cs="Arial"/>
                <w:sz w:val="22"/>
                <w:szCs w:val="22"/>
                <w:lang w:eastAsia="en-US"/>
              </w:rPr>
              <w:t>o la obligación, con mínimo los siguientes criterios:</w:t>
            </w:r>
          </w:p>
          <w:p w14:paraId="072EF431" w14:textId="77777777" w:rsidR="005E0BFF" w:rsidRPr="00CE5701" w:rsidRDefault="005E0BFF" w:rsidP="00D446D6">
            <w:pPr>
              <w:pStyle w:val="CUERPOTEXTO"/>
              <w:spacing w:after="0" w:line="276" w:lineRule="auto"/>
              <w:ind w:firstLine="0"/>
              <w:contextualSpacing/>
              <w:rPr>
                <w:rFonts w:ascii="Arial" w:eastAsia="Calibri" w:hAnsi="Arial" w:cs="Arial"/>
                <w:sz w:val="22"/>
                <w:szCs w:val="22"/>
                <w:lang w:eastAsia="en-US"/>
              </w:rPr>
            </w:pPr>
          </w:p>
          <w:p w14:paraId="2F5AB160" w14:textId="1C4F7466" w:rsidR="005E0BFF" w:rsidRPr="00CE5701" w:rsidRDefault="005E0BFF" w:rsidP="00D446D6">
            <w:pPr>
              <w:pStyle w:val="CUERPOTEXTO"/>
              <w:spacing w:after="0" w:line="276" w:lineRule="auto"/>
              <w:ind w:firstLine="0"/>
              <w:contextualSpacing/>
              <w:rPr>
                <w:rFonts w:ascii="Arial" w:eastAsia="Calibri" w:hAnsi="Arial" w:cs="Arial"/>
                <w:sz w:val="22"/>
                <w:szCs w:val="22"/>
                <w:lang w:eastAsia="en-US"/>
              </w:rPr>
            </w:pPr>
            <w:r w:rsidRPr="00CE5701">
              <w:rPr>
                <w:rFonts w:ascii="Arial" w:eastAsia="Calibri" w:hAnsi="Arial" w:cs="Arial"/>
                <w:sz w:val="22"/>
                <w:szCs w:val="22"/>
                <w:lang w:eastAsia="en-US"/>
              </w:rPr>
              <w:t xml:space="preserve">Descripción del bien o partida a depurar: </w:t>
            </w:r>
          </w:p>
          <w:p w14:paraId="455384D8" w14:textId="77777777" w:rsidR="005E0BFF" w:rsidRPr="00CE5701" w:rsidRDefault="005E0BFF" w:rsidP="00D446D6">
            <w:pPr>
              <w:pStyle w:val="CUERPOTEXTO"/>
              <w:spacing w:after="0" w:line="276" w:lineRule="auto"/>
              <w:ind w:firstLine="0"/>
              <w:contextualSpacing/>
              <w:rPr>
                <w:rFonts w:ascii="Arial" w:eastAsia="Calibri" w:hAnsi="Arial" w:cs="Arial"/>
                <w:sz w:val="22"/>
                <w:szCs w:val="22"/>
                <w:lang w:eastAsia="en-US"/>
              </w:rPr>
            </w:pPr>
          </w:p>
          <w:p w14:paraId="43BFE5AA" w14:textId="7C5F7100" w:rsidR="005E0BFF" w:rsidRPr="00A075E3" w:rsidRDefault="005E0BFF" w:rsidP="00D446D6">
            <w:pPr>
              <w:pStyle w:val="CUERPOTEXTO"/>
              <w:spacing w:after="0" w:line="276" w:lineRule="auto"/>
              <w:ind w:firstLine="0"/>
              <w:contextualSpacing/>
              <w:rPr>
                <w:rFonts w:ascii="Arial" w:eastAsia="Calibri" w:hAnsi="Arial" w:cs="Arial"/>
                <w:b/>
                <w:sz w:val="22"/>
                <w:szCs w:val="22"/>
                <w:lang w:eastAsia="en-US"/>
              </w:rPr>
            </w:pPr>
            <w:r w:rsidRPr="00CE5701">
              <w:rPr>
                <w:rFonts w:ascii="Arial" w:eastAsia="Calibri" w:hAnsi="Arial" w:cs="Arial"/>
                <w:sz w:val="22"/>
                <w:szCs w:val="22"/>
                <w:lang w:eastAsia="en-US"/>
              </w:rPr>
              <w:t>NIT:</w:t>
            </w:r>
            <w:r w:rsidRPr="00A075E3">
              <w:rPr>
                <w:rFonts w:ascii="Arial" w:eastAsia="Calibri" w:hAnsi="Arial" w:cs="Arial"/>
                <w:b/>
                <w:sz w:val="22"/>
                <w:szCs w:val="22"/>
                <w:lang w:eastAsia="en-US"/>
              </w:rPr>
              <w:t>899.999.061-9</w:t>
            </w:r>
          </w:p>
          <w:p w14:paraId="33DA86FF" w14:textId="77777777" w:rsidR="005E0BFF" w:rsidRDefault="005E0BFF" w:rsidP="00D446D6">
            <w:pPr>
              <w:pStyle w:val="CUERPOTEXTO"/>
              <w:spacing w:after="0" w:line="276" w:lineRule="auto"/>
              <w:ind w:firstLine="0"/>
              <w:contextualSpacing/>
              <w:rPr>
                <w:rFonts w:ascii="Arial" w:eastAsia="Calibri" w:hAnsi="Arial" w:cs="Arial"/>
                <w:sz w:val="22"/>
                <w:szCs w:val="22"/>
                <w:lang w:eastAsia="en-US"/>
              </w:rPr>
            </w:pPr>
          </w:p>
          <w:p w14:paraId="76DCF779" w14:textId="680BE2F6" w:rsidR="005E0BFF" w:rsidRPr="00CE5701" w:rsidRDefault="005E0BFF" w:rsidP="00D446D6">
            <w:pPr>
              <w:pStyle w:val="CUERPOTEXTO"/>
              <w:spacing w:after="0" w:line="276" w:lineRule="auto"/>
              <w:ind w:firstLine="0"/>
              <w:contextualSpacing/>
              <w:rPr>
                <w:rFonts w:ascii="Arial" w:eastAsia="Calibri" w:hAnsi="Arial" w:cs="Arial"/>
                <w:sz w:val="22"/>
                <w:szCs w:val="22"/>
                <w:lang w:eastAsia="en-US"/>
              </w:rPr>
            </w:pPr>
            <w:r w:rsidRPr="00CE5701">
              <w:rPr>
                <w:rFonts w:ascii="Arial" w:eastAsia="Calibri" w:hAnsi="Arial" w:cs="Arial"/>
                <w:sz w:val="22"/>
                <w:szCs w:val="22"/>
                <w:lang w:eastAsia="en-US"/>
              </w:rPr>
              <w:t xml:space="preserve">Razón Social o Nombre: </w:t>
            </w:r>
            <w:r w:rsidRPr="00A075E3">
              <w:rPr>
                <w:rFonts w:ascii="Arial" w:eastAsia="Calibri" w:hAnsi="Arial" w:cs="Arial"/>
                <w:b/>
                <w:sz w:val="22"/>
                <w:szCs w:val="22"/>
                <w:lang w:eastAsia="en-US"/>
              </w:rPr>
              <w:t>PERSONERIA DE BOGOTA</w:t>
            </w:r>
            <w:r>
              <w:rPr>
                <w:rFonts w:ascii="Arial" w:eastAsia="Calibri" w:hAnsi="Arial" w:cs="Arial"/>
                <w:b/>
                <w:sz w:val="22"/>
                <w:szCs w:val="22"/>
                <w:lang w:eastAsia="en-US"/>
              </w:rPr>
              <w:t xml:space="preserve"> D.C.</w:t>
            </w:r>
          </w:p>
          <w:p w14:paraId="160EDD89" w14:textId="77777777" w:rsidR="005E0BFF" w:rsidRPr="00CE5701" w:rsidRDefault="005E0BFF" w:rsidP="00D446D6">
            <w:pPr>
              <w:pStyle w:val="CUERPOTEXTO"/>
              <w:spacing w:after="0" w:line="276" w:lineRule="auto"/>
              <w:ind w:firstLine="0"/>
              <w:contextualSpacing/>
              <w:rPr>
                <w:rFonts w:ascii="Arial" w:eastAsia="Calibri" w:hAnsi="Arial" w:cs="Arial"/>
                <w:sz w:val="22"/>
                <w:szCs w:val="22"/>
                <w:lang w:eastAsia="en-US"/>
              </w:rPr>
            </w:pPr>
          </w:p>
          <w:p w14:paraId="2688266B" w14:textId="0D3236A1" w:rsidR="005E0BFF" w:rsidRPr="00CE5701" w:rsidRDefault="005E0BFF" w:rsidP="00D446D6">
            <w:pPr>
              <w:pStyle w:val="CUERPOTEXTO"/>
              <w:spacing w:after="0" w:line="276" w:lineRule="auto"/>
              <w:ind w:firstLine="0"/>
              <w:contextualSpacing/>
              <w:rPr>
                <w:rFonts w:ascii="Arial" w:eastAsia="Calibri" w:hAnsi="Arial" w:cs="Arial"/>
                <w:sz w:val="22"/>
                <w:szCs w:val="22"/>
                <w:lang w:eastAsia="en-US"/>
              </w:rPr>
            </w:pPr>
            <w:r w:rsidRPr="00CE5701">
              <w:rPr>
                <w:rFonts w:ascii="Arial" w:eastAsia="Calibri" w:hAnsi="Arial" w:cs="Arial"/>
                <w:sz w:val="22"/>
                <w:szCs w:val="22"/>
                <w:lang w:eastAsia="en-US"/>
              </w:rPr>
              <w:t xml:space="preserve">Vigencia: </w:t>
            </w:r>
          </w:p>
          <w:p w14:paraId="50369104" w14:textId="77777777" w:rsidR="005E0BFF" w:rsidRPr="00CE5701" w:rsidRDefault="005E0BFF" w:rsidP="00D446D6">
            <w:pPr>
              <w:pStyle w:val="CUERPOTEXTO"/>
              <w:spacing w:after="0" w:line="276" w:lineRule="auto"/>
              <w:ind w:firstLine="0"/>
              <w:contextualSpacing/>
              <w:rPr>
                <w:rFonts w:ascii="Arial" w:eastAsia="Calibri" w:hAnsi="Arial" w:cs="Arial"/>
                <w:sz w:val="22"/>
                <w:szCs w:val="22"/>
                <w:lang w:eastAsia="en-US"/>
              </w:rPr>
            </w:pPr>
          </w:p>
          <w:p w14:paraId="58661E7E" w14:textId="38728932" w:rsidR="005E0BFF" w:rsidRPr="00CE5701" w:rsidRDefault="005E0BFF" w:rsidP="00D446D6">
            <w:pPr>
              <w:pStyle w:val="CUERPOTEXTO"/>
              <w:spacing w:after="0" w:line="276" w:lineRule="auto"/>
              <w:ind w:firstLine="0"/>
              <w:contextualSpacing/>
              <w:rPr>
                <w:rFonts w:ascii="Arial" w:eastAsia="Calibri" w:hAnsi="Arial" w:cs="Arial"/>
                <w:sz w:val="22"/>
                <w:szCs w:val="22"/>
                <w:lang w:eastAsia="en-US"/>
              </w:rPr>
            </w:pPr>
            <w:r>
              <w:rPr>
                <w:rFonts w:ascii="Arial" w:eastAsia="Calibri" w:hAnsi="Arial" w:cs="Arial"/>
                <w:sz w:val="22"/>
                <w:szCs w:val="22"/>
                <w:lang w:eastAsia="en-US"/>
              </w:rPr>
              <w:t>V</w:t>
            </w:r>
            <w:r w:rsidRPr="00CE5701">
              <w:rPr>
                <w:rFonts w:ascii="Arial" w:eastAsia="Calibri" w:hAnsi="Arial" w:cs="Arial"/>
                <w:sz w:val="22"/>
                <w:szCs w:val="22"/>
                <w:lang w:eastAsia="en-US"/>
              </w:rPr>
              <w:t>alor discriminado:</w:t>
            </w:r>
          </w:p>
          <w:p w14:paraId="1673F74C" w14:textId="7B528593" w:rsidR="005E0BFF" w:rsidRPr="009F4FE9" w:rsidRDefault="005E0BFF" w:rsidP="00D446D6">
            <w:pPr>
              <w:pStyle w:val="CUERPOTEXTO"/>
              <w:spacing w:after="0" w:line="276" w:lineRule="auto"/>
              <w:ind w:firstLine="0"/>
              <w:contextualSpacing/>
              <w:rPr>
                <w:rFonts w:ascii="Arial" w:eastAsia="Calibri" w:hAnsi="Arial" w:cs="Arial"/>
                <w:sz w:val="22"/>
                <w:szCs w:val="22"/>
                <w:lang w:eastAsia="en-US"/>
              </w:rPr>
            </w:pPr>
          </w:p>
          <w:p w14:paraId="79E2E005" w14:textId="77777777" w:rsidR="005E0BFF" w:rsidRPr="009F4FE9" w:rsidRDefault="005E0BFF" w:rsidP="00D446D6">
            <w:pPr>
              <w:pStyle w:val="CUERPOTEXTO"/>
              <w:spacing w:after="0" w:line="276" w:lineRule="auto"/>
              <w:ind w:firstLine="0"/>
              <w:contextualSpacing/>
              <w:rPr>
                <w:rFonts w:ascii="Arial" w:eastAsia="Calibri" w:hAnsi="Arial" w:cs="Arial"/>
                <w:sz w:val="22"/>
                <w:szCs w:val="22"/>
                <w:lang w:eastAsia="en-US"/>
              </w:rPr>
            </w:pPr>
            <w:r w:rsidRPr="009F4FE9">
              <w:rPr>
                <w:rFonts w:ascii="Arial" w:eastAsia="Calibri" w:hAnsi="Arial" w:cs="Arial"/>
                <w:sz w:val="22"/>
                <w:szCs w:val="22"/>
                <w:lang w:eastAsia="en-US"/>
              </w:rPr>
              <w:t>Código de las cuentas y subcuentas contables que se afectan con los registros sometidos a depuración:</w:t>
            </w:r>
          </w:p>
          <w:p w14:paraId="7B7474AE" w14:textId="77777777" w:rsidR="005E0BFF" w:rsidRDefault="005E0BFF" w:rsidP="00D446D6">
            <w:pPr>
              <w:pStyle w:val="CUERPOTEXTO"/>
              <w:spacing w:after="0" w:line="276" w:lineRule="auto"/>
              <w:ind w:left="720" w:firstLine="0"/>
              <w:contextualSpacing/>
              <w:rPr>
                <w:rFonts w:ascii="Arial" w:eastAsia="Calibri" w:hAnsi="Arial" w:cs="Arial"/>
                <w:sz w:val="22"/>
                <w:szCs w:val="22"/>
                <w:lang w:eastAsia="en-US"/>
              </w:rPr>
            </w:pPr>
          </w:p>
          <w:p w14:paraId="04DE1368" w14:textId="00C75E2C" w:rsidR="005E0BFF" w:rsidRPr="00157F8A" w:rsidRDefault="005E0BFF" w:rsidP="00D446D6">
            <w:pPr>
              <w:pStyle w:val="CUERPOTEXTO"/>
              <w:spacing w:after="0" w:line="276" w:lineRule="auto"/>
              <w:ind w:left="720" w:firstLine="0"/>
              <w:contextualSpacing/>
              <w:rPr>
                <w:rFonts w:ascii="Arial" w:eastAsia="Calibri" w:hAnsi="Arial" w:cs="Arial"/>
                <w:sz w:val="22"/>
                <w:szCs w:val="22"/>
                <w:lang w:eastAsia="en-US"/>
              </w:rPr>
            </w:pPr>
          </w:p>
        </w:tc>
      </w:tr>
      <w:tr w:rsidR="005E0BFF" w:rsidRPr="002619E9" w14:paraId="4DE21FDE" w14:textId="77777777" w:rsidTr="00D446D6">
        <w:trPr>
          <w:trHeight w:val="693"/>
        </w:trPr>
        <w:tc>
          <w:tcPr>
            <w:tcW w:w="10490" w:type="dxa"/>
            <w:shd w:val="clear" w:color="auto" w:fill="auto"/>
            <w:vAlign w:val="center"/>
          </w:tcPr>
          <w:p w14:paraId="6990F292" w14:textId="77777777" w:rsidR="005E0BFF" w:rsidRPr="009F4FE9" w:rsidRDefault="005E0BFF" w:rsidP="005E0BFF">
            <w:pPr>
              <w:spacing w:line="240" w:lineRule="auto"/>
              <w:contextualSpacing/>
              <w:jc w:val="center"/>
              <w:rPr>
                <w:rFonts w:ascii="Arial" w:hAnsi="Arial" w:cs="Arial"/>
                <w:b/>
                <w:bCs/>
              </w:rPr>
            </w:pPr>
            <w:r w:rsidRPr="009F4FE9">
              <w:rPr>
                <w:rFonts w:ascii="Arial" w:hAnsi="Arial" w:cs="Arial"/>
                <w:b/>
                <w:bCs/>
              </w:rPr>
              <w:t>El Subdirector de Gestión del Talento Humano</w:t>
            </w:r>
          </w:p>
          <w:p w14:paraId="215ED36F" w14:textId="1D06167D" w:rsidR="005E0BFF" w:rsidRPr="002619E9" w:rsidRDefault="005E0BFF" w:rsidP="005E0BFF">
            <w:pPr>
              <w:spacing w:line="240" w:lineRule="auto"/>
              <w:contextualSpacing/>
              <w:jc w:val="center"/>
              <w:rPr>
                <w:rFonts w:ascii="Arial" w:hAnsi="Arial" w:cs="Arial"/>
                <w:b/>
                <w:bCs/>
                <w:sz w:val="20"/>
                <w:szCs w:val="20"/>
              </w:rPr>
            </w:pPr>
            <w:r w:rsidRPr="009F4FE9">
              <w:rPr>
                <w:rFonts w:ascii="Arial" w:hAnsi="Arial" w:cs="Arial"/>
                <w:b/>
                <w:bCs/>
              </w:rPr>
              <w:t>de la Personería de Bogotá</w:t>
            </w:r>
          </w:p>
        </w:tc>
      </w:tr>
      <w:tr w:rsidR="005E0BFF" w:rsidRPr="002619E9" w14:paraId="0097F832" w14:textId="77777777" w:rsidTr="00D446D6">
        <w:trPr>
          <w:trHeight w:val="693"/>
        </w:trPr>
        <w:tc>
          <w:tcPr>
            <w:tcW w:w="10490" w:type="dxa"/>
            <w:shd w:val="clear" w:color="auto" w:fill="auto"/>
          </w:tcPr>
          <w:p w14:paraId="51DC132C" w14:textId="77777777" w:rsidR="005E0BFF" w:rsidRDefault="005E0BFF" w:rsidP="005E0BFF">
            <w:pPr>
              <w:spacing w:line="240" w:lineRule="auto"/>
              <w:contextualSpacing/>
              <w:jc w:val="center"/>
              <w:rPr>
                <w:rFonts w:ascii="Arial" w:hAnsi="Arial" w:cs="Arial"/>
                <w:b/>
              </w:rPr>
            </w:pPr>
          </w:p>
          <w:p w14:paraId="0D3D7F89" w14:textId="0D996C4A" w:rsidR="005E0BFF" w:rsidRPr="009F4FE9" w:rsidRDefault="005E0BFF" w:rsidP="005E0BFF">
            <w:pPr>
              <w:spacing w:line="240" w:lineRule="auto"/>
              <w:contextualSpacing/>
              <w:jc w:val="center"/>
              <w:rPr>
                <w:rFonts w:ascii="Arial" w:hAnsi="Arial" w:cs="Arial"/>
                <w:b/>
              </w:rPr>
            </w:pPr>
            <w:r w:rsidRPr="009F4FE9">
              <w:rPr>
                <w:rFonts w:ascii="Arial" w:hAnsi="Arial" w:cs="Arial"/>
                <w:b/>
              </w:rPr>
              <w:t>CERTIFICA:</w:t>
            </w:r>
          </w:p>
          <w:p w14:paraId="0B525BB4" w14:textId="77777777" w:rsidR="005E0BFF" w:rsidRPr="002619E9" w:rsidRDefault="005E0BFF" w:rsidP="005E0BFF">
            <w:pPr>
              <w:spacing w:line="240" w:lineRule="auto"/>
              <w:contextualSpacing/>
              <w:jc w:val="center"/>
              <w:rPr>
                <w:rFonts w:ascii="Arial" w:hAnsi="Arial" w:cs="Arial"/>
                <w:b/>
                <w:sz w:val="20"/>
                <w:szCs w:val="20"/>
              </w:rPr>
            </w:pPr>
          </w:p>
          <w:p w14:paraId="7194ACF4" w14:textId="27B8EFE7" w:rsidR="005E0BFF" w:rsidRPr="005E0BFF" w:rsidRDefault="005E0BFF" w:rsidP="005E0BFF">
            <w:pPr>
              <w:spacing w:line="240" w:lineRule="auto"/>
              <w:contextualSpacing/>
              <w:jc w:val="both"/>
              <w:rPr>
                <w:rFonts w:ascii="Arial" w:hAnsi="Arial" w:cs="Arial"/>
                <w:color w:val="595959" w:themeColor="text1" w:themeTint="A6"/>
              </w:rPr>
            </w:pPr>
            <w:r w:rsidRPr="005E0BFF">
              <w:rPr>
                <w:rFonts w:ascii="Arial" w:hAnsi="Arial" w:cs="Arial"/>
                <w:color w:val="595959" w:themeColor="text1" w:themeTint="A6"/>
              </w:rPr>
              <w:t>Que con el fin de depurar la información financiera que produce la Subdirección de Gestión del Talento Humano se han adelantado las actividades y gestiones administrativas pertinentes, tendientes a depurar las partidas que en esta ficha se presentaron a consideración del Comité de Sostenibilidad Contable para recomendar su depuración en los Estados Financieros de la Personería de Bogotá.</w:t>
            </w:r>
          </w:p>
          <w:p w14:paraId="1B1659D6" w14:textId="77777777" w:rsidR="005E0BFF" w:rsidRDefault="005E0BFF" w:rsidP="005E0BFF">
            <w:pPr>
              <w:spacing w:after="0" w:line="240" w:lineRule="auto"/>
              <w:contextualSpacing/>
              <w:jc w:val="center"/>
              <w:rPr>
                <w:rFonts w:ascii="Arial" w:hAnsi="Arial" w:cs="Arial"/>
                <w:b/>
                <w:bCs/>
                <w:sz w:val="20"/>
                <w:szCs w:val="20"/>
              </w:rPr>
            </w:pPr>
          </w:p>
          <w:p w14:paraId="5AAB819B" w14:textId="5C3C9469" w:rsidR="005E0BFF" w:rsidRPr="002619E9" w:rsidRDefault="005E0BFF" w:rsidP="005E0BFF">
            <w:pPr>
              <w:spacing w:after="0" w:line="240" w:lineRule="auto"/>
              <w:contextualSpacing/>
              <w:jc w:val="center"/>
              <w:rPr>
                <w:rFonts w:ascii="Arial" w:hAnsi="Arial" w:cs="Arial"/>
                <w:b/>
                <w:bCs/>
                <w:sz w:val="20"/>
                <w:szCs w:val="20"/>
              </w:rPr>
            </w:pPr>
          </w:p>
        </w:tc>
      </w:tr>
      <w:tr w:rsidR="005E0BFF" w:rsidRPr="002619E9" w14:paraId="6408A863" w14:textId="77777777" w:rsidTr="00D446D6">
        <w:trPr>
          <w:trHeight w:val="510"/>
        </w:trPr>
        <w:tc>
          <w:tcPr>
            <w:tcW w:w="10490" w:type="dxa"/>
            <w:shd w:val="clear" w:color="auto" w:fill="F2F2F2" w:themeFill="background1" w:themeFillShade="F2"/>
            <w:vAlign w:val="center"/>
          </w:tcPr>
          <w:p w14:paraId="6C8922CB" w14:textId="6A6C64BC" w:rsidR="005E0BFF" w:rsidRPr="005E0BFF" w:rsidRDefault="005E0BFF" w:rsidP="005E0BFF">
            <w:pPr>
              <w:spacing w:after="0" w:line="240" w:lineRule="auto"/>
              <w:contextualSpacing/>
              <w:jc w:val="center"/>
              <w:rPr>
                <w:rFonts w:ascii="Arial" w:hAnsi="Arial" w:cs="Arial"/>
                <w:b/>
                <w:bCs/>
                <w:iCs/>
                <w:sz w:val="20"/>
                <w:szCs w:val="20"/>
              </w:rPr>
            </w:pPr>
            <w:r w:rsidRPr="005E0BFF">
              <w:rPr>
                <w:rFonts w:ascii="Arial" w:hAnsi="Arial" w:cs="Arial"/>
                <w:b/>
                <w:bCs/>
                <w:iCs/>
                <w:sz w:val="20"/>
                <w:szCs w:val="20"/>
              </w:rPr>
              <w:t>IDENTIFICACION DE LA CAUSAL DE DEPURACIÓN</w:t>
            </w:r>
          </w:p>
        </w:tc>
      </w:tr>
      <w:tr w:rsidR="005E0BFF" w:rsidRPr="002619E9" w14:paraId="28FD719B" w14:textId="77777777" w:rsidTr="00D446D6">
        <w:trPr>
          <w:trHeight w:val="693"/>
        </w:trPr>
        <w:tc>
          <w:tcPr>
            <w:tcW w:w="10490" w:type="dxa"/>
            <w:shd w:val="clear" w:color="auto" w:fill="auto"/>
          </w:tcPr>
          <w:p w14:paraId="0C067AB3" w14:textId="77777777" w:rsidR="005E0BFF" w:rsidRPr="005E0BFF" w:rsidRDefault="005E0BFF" w:rsidP="005E0BFF">
            <w:pPr>
              <w:spacing w:after="0" w:line="240" w:lineRule="auto"/>
              <w:contextualSpacing/>
              <w:jc w:val="both"/>
              <w:rPr>
                <w:rFonts w:ascii="Arial" w:hAnsi="Arial" w:cs="Arial"/>
                <w:bCs/>
                <w:color w:val="595959" w:themeColor="text1" w:themeTint="A6"/>
              </w:rPr>
            </w:pPr>
          </w:p>
          <w:p w14:paraId="4A43AB48" w14:textId="48053D1E" w:rsidR="005E0BFF" w:rsidRPr="005E0BFF" w:rsidRDefault="005E0BFF" w:rsidP="005E0BFF">
            <w:pPr>
              <w:spacing w:after="0" w:line="240" w:lineRule="auto"/>
              <w:contextualSpacing/>
              <w:jc w:val="both"/>
              <w:rPr>
                <w:rFonts w:ascii="Arial" w:hAnsi="Arial" w:cs="Arial"/>
                <w:bCs/>
                <w:color w:val="595959" w:themeColor="text1" w:themeTint="A6"/>
              </w:rPr>
            </w:pPr>
            <w:r w:rsidRPr="005E0BFF">
              <w:rPr>
                <w:rFonts w:ascii="Arial" w:hAnsi="Arial" w:cs="Arial"/>
                <w:bCs/>
                <w:color w:val="595959" w:themeColor="text1" w:themeTint="A6"/>
              </w:rPr>
              <w:t>El artículo 4 de la Resolución No.DDC-000003 del 05 de diciembre de 2018 expedida por la Contaduría General de Bogotá hace referencia a la depuración ordinaria y extraordinaria de saldos contables así:</w:t>
            </w:r>
          </w:p>
          <w:p w14:paraId="210ECD43" w14:textId="77777777" w:rsidR="005E0BFF" w:rsidRPr="005E0BFF" w:rsidRDefault="005E0BFF" w:rsidP="005E0BFF">
            <w:pPr>
              <w:spacing w:after="0" w:line="240" w:lineRule="auto"/>
              <w:contextualSpacing/>
              <w:jc w:val="both"/>
              <w:rPr>
                <w:rFonts w:ascii="Arial" w:hAnsi="Arial" w:cs="Arial"/>
                <w:bCs/>
                <w:color w:val="595959" w:themeColor="text1" w:themeTint="A6"/>
                <w:sz w:val="20"/>
                <w:szCs w:val="20"/>
              </w:rPr>
            </w:pPr>
          </w:p>
          <w:p w14:paraId="4FE55097" w14:textId="77777777" w:rsidR="005E0BFF" w:rsidRPr="005E0BFF" w:rsidRDefault="005E0BFF" w:rsidP="005E0BFF">
            <w:pPr>
              <w:spacing w:after="0" w:line="240" w:lineRule="auto"/>
              <w:contextualSpacing/>
              <w:jc w:val="both"/>
              <w:rPr>
                <w:rFonts w:ascii="Arial" w:hAnsi="Arial" w:cs="Arial"/>
                <w:bCs/>
                <w:i/>
                <w:color w:val="595959" w:themeColor="text1" w:themeTint="A6"/>
                <w:sz w:val="20"/>
                <w:szCs w:val="20"/>
              </w:rPr>
            </w:pPr>
            <w:r w:rsidRPr="005E0BFF">
              <w:rPr>
                <w:rFonts w:ascii="Arial" w:hAnsi="Arial" w:cs="Arial"/>
                <w:bCs/>
                <w:i/>
                <w:color w:val="595959" w:themeColor="text1" w:themeTint="A6"/>
                <w:sz w:val="20"/>
                <w:szCs w:val="20"/>
              </w:rPr>
              <w:t>Artículo 4.- Depuración ordinaria y extraordinaria de saldos contables. Definir la depuración ordinaria como aquella que se fundamenta en el cumplimiento de las normas legales aplicables a cada caso en particular, en las políticas de operación y en los documentos idóneos establecidos para su reconocimiento contable. Para este tipo de depuración se deben establecer” los casos sobre los cuales el Comité Técnico de Sostenibilidad Contable debe emitir su recomendación, la instancia que debe efectuar la aprobación y el documento que la soporta.</w:t>
            </w:r>
          </w:p>
          <w:p w14:paraId="2B51951C" w14:textId="77777777" w:rsidR="005E0BFF" w:rsidRPr="005E0BFF" w:rsidRDefault="005E0BFF" w:rsidP="005E0BFF">
            <w:pPr>
              <w:spacing w:after="0" w:line="240" w:lineRule="auto"/>
              <w:contextualSpacing/>
              <w:jc w:val="both"/>
              <w:rPr>
                <w:rFonts w:ascii="Arial" w:hAnsi="Arial" w:cs="Arial"/>
                <w:bCs/>
                <w:i/>
                <w:color w:val="595959" w:themeColor="text1" w:themeTint="A6"/>
                <w:sz w:val="20"/>
                <w:szCs w:val="20"/>
              </w:rPr>
            </w:pPr>
          </w:p>
          <w:p w14:paraId="73D22E5B" w14:textId="77777777" w:rsidR="005E0BFF" w:rsidRPr="005E0BFF" w:rsidRDefault="005E0BFF" w:rsidP="005E0BFF">
            <w:pPr>
              <w:spacing w:after="0" w:line="240" w:lineRule="auto"/>
              <w:contextualSpacing/>
              <w:jc w:val="both"/>
              <w:rPr>
                <w:rFonts w:ascii="Arial" w:hAnsi="Arial" w:cs="Arial"/>
                <w:bCs/>
                <w:i/>
                <w:color w:val="595959" w:themeColor="text1" w:themeTint="A6"/>
                <w:sz w:val="20"/>
                <w:szCs w:val="20"/>
              </w:rPr>
            </w:pPr>
            <w:r w:rsidRPr="005E0BFF">
              <w:rPr>
                <w:rFonts w:ascii="Arial" w:hAnsi="Arial" w:cs="Arial"/>
                <w:bCs/>
                <w:i/>
                <w:color w:val="595959" w:themeColor="text1" w:themeTint="A6"/>
                <w:sz w:val="20"/>
                <w:szCs w:val="20"/>
              </w:rPr>
              <w:t xml:space="preserve">Definir la depuración extraordinaria como aquella que se aplica cuando una vez agotada la gestión administrativa e investigativa tendiente a la aclaración, identificación y soporte de los saldos contables, no es posible establecer la procedencia u origen de estos. Al respecto, el Comité Técnico de Sostenibilidad Contable debe recomendar al </w:t>
            </w:r>
            <w:r w:rsidRPr="005E0BFF">
              <w:rPr>
                <w:rFonts w:ascii="Arial" w:hAnsi="Arial" w:cs="Arial"/>
                <w:bCs/>
                <w:i/>
                <w:color w:val="595959" w:themeColor="text1" w:themeTint="A6"/>
                <w:sz w:val="20"/>
                <w:szCs w:val="20"/>
              </w:rPr>
              <w:lastRenderedPageBreak/>
              <w:t>Representante Legal, o a quien haga sus veces, para que se apruebe la depuración extraordinaria correspondiente mediante acto administrativo. Esto sin perjuicio de las acciones administrativas o disciplinarias a que haya lugar.</w:t>
            </w:r>
          </w:p>
          <w:p w14:paraId="61495B6F" w14:textId="77777777" w:rsidR="005E0BFF" w:rsidRPr="005E0BFF" w:rsidRDefault="005E0BFF" w:rsidP="005E0BFF">
            <w:pPr>
              <w:spacing w:after="0" w:line="240" w:lineRule="auto"/>
              <w:contextualSpacing/>
              <w:jc w:val="both"/>
              <w:rPr>
                <w:rFonts w:ascii="Arial" w:hAnsi="Arial" w:cs="Arial"/>
                <w:bCs/>
                <w:i/>
                <w:color w:val="595959" w:themeColor="text1" w:themeTint="A6"/>
                <w:sz w:val="20"/>
                <w:szCs w:val="20"/>
              </w:rPr>
            </w:pPr>
          </w:p>
          <w:p w14:paraId="56458D43" w14:textId="77777777" w:rsidR="005E0BFF" w:rsidRPr="005E0BFF" w:rsidRDefault="005E0BFF" w:rsidP="005E0BFF">
            <w:pPr>
              <w:spacing w:after="0" w:line="240" w:lineRule="auto"/>
              <w:contextualSpacing/>
              <w:jc w:val="both"/>
              <w:rPr>
                <w:rFonts w:ascii="Arial" w:hAnsi="Arial" w:cs="Arial"/>
                <w:bCs/>
                <w:i/>
                <w:color w:val="595959" w:themeColor="text1" w:themeTint="A6"/>
                <w:sz w:val="20"/>
                <w:szCs w:val="20"/>
              </w:rPr>
            </w:pPr>
            <w:r w:rsidRPr="005E0BFF">
              <w:rPr>
                <w:rFonts w:ascii="Arial" w:hAnsi="Arial" w:cs="Arial"/>
                <w:bCs/>
                <w:i/>
                <w:color w:val="595959" w:themeColor="text1" w:themeTint="A6"/>
                <w:sz w:val="20"/>
                <w:szCs w:val="20"/>
              </w:rPr>
              <w:t>Parágrafo 1.- El proceso de depuración de la información contable pública distrital de que trata el presente artículo debe estar soportado en tos documentos que evidencien la gestión administrativa, técnica, jurídica, etc., realizada y, para los casos en que estas decisiones pueden consignarse en el Acto administrativo de constitución del Comité Técnico de Sostenibilidad Contable, en su reglamento, en las actas de reunión, en las políticas de operación, o en otros documentos que se establezcan al interior de la entidad.</w:t>
            </w:r>
          </w:p>
          <w:p w14:paraId="4549184F" w14:textId="77777777" w:rsidR="005E0BFF" w:rsidRPr="005E0BFF" w:rsidRDefault="005E0BFF" w:rsidP="005E0BFF">
            <w:pPr>
              <w:spacing w:after="0" w:line="240" w:lineRule="auto"/>
              <w:contextualSpacing/>
              <w:jc w:val="both"/>
              <w:rPr>
                <w:rFonts w:ascii="Arial" w:hAnsi="Arial" w:cs="Arial"/>
                <w:bCs/>
                <w:i/>
                <w:color w:val="595959" w:themeColor="text1" w:themeTint="A6"/>
                <w:sz w:val="20"/>
                <w:szCs w:val="20"/>
              </w:rPr>
            </w:pPr>
          </w:p>
          <w:p w14:paraId="203667CB" w14:textId="77777777" w:rsidR="005E0BFF" w:rsidRPr="005E0BFF" w:rsidRDefault="005E0BFF" w:rsidP="005E0BFF">
            <w:pPr>
              <w:spacing w:after="0" w:line="240" w:lineRule="auto"/>
              <w:contextualSpacing/>
              <w:jc w:val="both"/>
              <w:rPr>
                <w:rFonts w:ascii="Arial" w:hAnsi="Arial" w:cs="Arial"/>
                <w:bCs/>
                <w:i/>
                <w:color w:val="595959" w:themeColor="text1" w:themeTint="A6"/>
                <w:sz w:val="20"/>
                <w:szCs w:val="20"/>
              </w:rPr>
            </w:pPr>
            <w:r w:rsidRPr="005E0BFF">
              <w:rPr>
                <w:rFonts w:ascii="Arial" w:hAnsi="Arial" w:cs="Arial"/>
                <w:bCs/>
                <w:i/>
                <w:color w:val="595959" w:themeColor="text1" w:themeTint="A6"/>
                <w:sz w:val="20"/>
                <w:szCs w:val="20"/>
              </w:rPr>
              <w:t>Parágrafo 2.- Cuando se establezca que el saldo objeto de depuración ordinaria o extraordinaria se origina en un error, la identificación y corrección de este procederá, de conformidad con lo indicado en los Marcos Normativos incorporados en el Régimen de Contabilidad Pública, en el Manual de Políticas Contables aplicable y en los lineamientos adicionales emitidos por la Contaduría General de la Nación o de la Dirección Distrital de Contabilidad.</w:t>
            </w:r>
          </w:p>
          <w:p w14:paraId="62388919" w14:textId="77777777" w:rsidR="005E0BFF" w:rsidRPr="005E0BFF" w:rsidRDefault="005E0BFF" w:rsidP="005E0BFF">
            <w:pPr>
              <w:spacing w:after="0" w:line="240" w:lineRule="auto"/>
              <w:contextualSpacing/>
              <w:jc w:val="both"/>
              <w:rPr>
                <w:rFonts w:ascii="Arial" w:hAnsi="Arial" w:cs="Arial"/>
                <w:bCs/>
                <w:i/>
                <w:color w:val="595959" w:themeColor="text1" w:themeTint="A6"/>
                <w:sz w:val="20"/>
                <w:szCs w:val="20"/>
              </w:rPr>
            </w:pPr>
          </w:p>
          <w:p w14:paraId="2DF06052" w14:textId="77777777" w:rsidR="005E0BFF" w:rsidRPr="005E0BFF" w:rsidRDefault="005E0BFF" w:rsidP="005E0BFF">
            <w:pPr>
              <w:spacing w:after="0" w:line="240" w:lineRule="auto"/>
              <w:contextualSpacing/>
              <w:jc w:val="both"/>
              <w:rPr>
                <w:rFonts w:ascii="Arial" w:hAnsi="Arial" w:cs="Arial"/>
                <w:bCs/>
                <w:i/>
                <w:color w:val="595959" w:themeColor="text1" w:themeTint="A6"/>
                <w:sz w:val="20"/>
                <w:szCs w:val="20"/>
              </w:rPr>
            </w:pPr>
            <w:r w:rsidRPr="005E0BFF">
              <w:rPr>
                <w:rFonts w:ascii="Arial" w:hAnsi="Arial" w:cs="Arial"/>
                <w:bCs/>
                <w:i/>
                <w:color w:val="595959" w:themeColor="text1" w:themeTint="A6"/>
                <w:sz w:val="20"/>
                <w:szCs w:val="20"/>
              </w:rPr>
              <w:t>Parágrafo 3. - Si el hecho económico a depurar no se origina en un error, la depuración, sea ordinaria o extraordinaria, se debe hacer según el tratamiento definido en las políticas de operación establecidas.</w:t>
            </w:r>
          </w:p>
          <w:p w14:paraId="79ABF444" w14:textId="77777777" w:rsidR="005E0BFF" w:rsidRPr="005E0BFF" w:rsidRDefault="005E0BFF" w:rsidP="005E0BFF">
            <w:pPr>
              <w:spacing w:after="0" w:line="240" w:lineRule="auto"/>
              <w:contextualSpacing/>
              <w:jc w:val="both"/>
              <w:rPr>
                <w:rFonts w:ascii="Arial" w:hAnsi="Arial" w:cs="Arial"/>
                <w:bCs/>
                <w:i/>
                <w:color w:val="595959" w:themeColor="text1" w:themeTint="A6"/>
                <w:sz w:val="20"/>
                <w:szCs w:val="20"/>
              </w:rPr>
            </w:pPr>
          </w:p>
          <w:p w14:paraId="54C6C3AC" w14:textId="77777777" w:rsidR="005E0BFF" w:rsidRPr="005E0BFF" w:rsidRDefault="005E0BFF" w:rsidP="005E0BFF">
            <w:pPr>
              <w:spacing w:after="0" w:line="240" w:lineRule="auto"/>
              <w:contextualSpacing/>
              <w:jc w:val="both"/>
              <w:rPr>
                <w:rFonts w:ascii="Arial" w:hAnsi="Arial" w:cs="Arial"/>
                <w:bCs/>
                <w:i/>
                <w:color w:val="595959" w:themeColor="text1" w:themeTint="A6"/>
                <w:sz w:val="20"/>
                <w:szCs w:val="20"/>
              </w:rPr>
            </w:pPr>
            <w:r w:rsidRPr="005E0BFF">
              <w:rPr>
                <w:rFonts w:ascii="Arial" w:hAnsi="Arial" w:cs="Arial"/>
                <w:bCs/>
                <w:i/>
                <w:color w:val="595959" w:themeColor="text1" w:themeTint="A6"/>
                <w:sz w:val="20"/>
                <w:szCs w:val="20"/>
              </w:rPr>
              <w:t>Parágrafo 4. - Las políticas de operación o los procedimientos administrativos en donde se describan los hechos económicos asociados a la depuración ordinaria, deben elaborarse dentro de un plazo máximo de un (1) año, contado a partir de la expedición de la presente Resolución. Entre tanto las políticas o procedimientos se implementen, toda depuración debe seguir los lineamientos dados en el presente artículo para la depuración extraordinaria.</w:t>
            </w:r>
          </w:p>
          <w:p w14:paraId="7EF8BC0B" w14:textId="77777777" w:rsidR="005E0BFF" w:rsidRPr="005E0BFF" w:rsidRDefault="005E0BFF" w:rsidP="005E0BFF">
            <w:pPr>
              <w:spacing w:after="0" w:line="240" w:lineRule="auto"/>
              <w:contextualSpacing/>
              <w:jc w:val="both"/>
              <w:rPr>
                <w:rFonts w:ascii="Arial" w:hAnsi="Arial" w:cs="Arial"/>
                <w:bCs/>
                <w:color w:val="595959" w:themeColor="text1" w:themeTint="A6"/>
                <w:sz w:val="20"/>
                <w:szCs w:val="20"/>
              </w:rPr>
            </w:pPr>
          </w:p>
          <w:p w14:paraId="2752FF63" w14:textId="549EACD1" w:rsidR="005E0BFF" w:rsidRPr="005E0BFF" w:rsidRDefault="005E0BFF" w:rsidP="005E0BFF">
            <w:pPr>
              <w:spacing w:after="0" w:line="240" w:lineRule="auto"/>
              <w:contextualSpacing/>
              <w:jc w:val="both"/>
              <w:rPr>
                <w:rFonts w:ascii="Arial" w:hAnsi="Arial" w:cs="Arial"/>
                <w:b/>
                <w:bCs/>
                <w:i/>
                <w:color w:val="595959" w:themeColor="text1" w:themeTint="A6"/>
                <w:sz w:val="20"/>
                <w:szCs w:val="20"/>
              </w:rPr>
            </w:pPr>
            <w:r w:rsidRPr="005E0BFF">
              <w:rPr>
                <w:rFonts w:ascii="Arial" w:hAnsi="Arial" w:cs="Arial"/>
                <w:b/>
                <w:bCs/>
                <w:i/>
                <w:color w:val="595959" w:themeColor="text1" w:themeTint="A6"/>
                <w:sz w:val="20"/>
                <w:szCs w:val="20"/>
              </w:rPr>
              <w:t>Causales de la Depuración:</w:t>
            </w:r>
          </w:p>
          <w:p w14:paraId="73EB1D54" w14:textId="77777777" w:rsidR="005E0BFF" w:rsidRPr="005E0BFF" w:rsidRDefault="005E0BFF" w:rsidP="005E0BFF">
            <w:pPr>
              <w:spacing w:after="0" w:line="240" w:lineRule="auto"/>
              <w:contextualSpacing/>
              <w:jc w:val="both"/>
              <w:rPr>
                <w:rFonts w:ascii="Arial" w:hAnsi="Arial" w:cs="Arial"/>
                <w:bCs/>
                <w:i/>
                <w:color w:val="595959" w:themeColor="text1" w:themeTint="A6"/>
                <w:sz w:val="20"/>
                <w:szCs w:val="20"/>
              </w:rPr>
            </w:pPr>
          </w:p>
          <w:p w14:paraId="361C4984" w14:textId="11F15F8B" w:rsidR="005E0BFF" w:rsidRPr="005E0BFF" w:rsidRDefault="005E0BFF" w:rsidP="005E0BFF">
            <w:pPr>
              <w:pStyle w:val="Prrafodelista"/>
              <w:numPr>
                <w:ilvl w:val="0"/>
                <w:numId w:val="12"/>
              </w:numPr>
              <w:spacing w:after="0" w:line="240" w:lineRule="auto"/>
              <w:jc w:val="both"/>
              <w:rPr>
                <w:rFonts w:ascii="Arial" w:hAnsi="Arial" w:cs="Arial"/>
                <w:bCs/>
                <w:i/>
                <w:color w:val="595959" w:themeColor="text1" w:themeTint="A6"/>
                <w:sz w:val="20"/>
                <w:szCs w:val="20"/>
              </w:rPr>
            </w:pPr>
            <w:r w:rsidRPr="005E0BFF">
              <w:rPr>
                <w:rFonts w:ascii="Arial" w:hAnsi="Arial" w:cs="Arial"/>
                <w:bCs/>
                <w:i/>
                <w:color w:val="595959" w:themeColor="text1" w:themeTint="A6"/>
                <w:sz w:val="20"/>
                <w:szCs w:val="20"/>
              </w:rPr>
              <w:t>Valores que afecten la situación patrimonial y no representen derechos, bienes u obligaciones para la entidad.</w:t>
            </w:r>
          </w:p>
          <w:p w14:paraId="763D0A8B" w14:textId="76EE1E61" w:rsidR="005E0BFF" w:rsidRPr="005E0BFF" w:rsidRDefault="005E0BFF" w:rsidP="005E0BFF">
            <w:pPr>
              <w:pStyle w:val="Prrafodelista"/>
              <w:numPr>
                <w:ilvl w:val="0"/>
                <w:numId w:val="12"/>
              </w:numPr>
              <w:spacing w:after="0" w:line="240" w:lineRule="auto"/>
              <w:jc w:val="both"/>
              <w:rPr>
                <w:rFonts w:ascii="Arial" w:hAnsi="Arial" w:cs="Arial"/>
                <w:bCs/>
                <w:i/>
                <w:color w:val="595959" w:themeColor="text1" w:themeTint="A6"/>
                <w:sz w:val="20"/>
                <w:szCs w:val="20"/>
              </w:rPr>
            </w:pPr>
            <w:r w:rsidRPr="005E0BFF">
              <w:rPr>
                <w:rFonts w:ascii="Arial" w:hAnsi="Arial" w:cs="Arial"/>
                <w:bCs/>
                <w:i/>
                <w:color w:val="595959" w:themeColor="text1" w:themeTint="A6"/>
                <w:sz w:val="20"/>
                <w:szCs w:val="20"/>
              </w:rPr>
              <w:t>Derechos que no es posible hacer efectivo mediante la jurisdicción coactiva.</w:t>
            </w:r>
          </w:p>
          <w:p w14:paraId="1ECA5C2D" w14:textId="4417FB8E" w:rsidR="005E0BFF" w:rsidRPr="005E0BFF" w:rsidRDefault="005E0BFF" w:rsidP="005E0BFF">
            <w:pPr>
              <w:pStyle w:val="Prrafodelista"/>
              <w:numPr>
                <w:ilvl w:val="0"/>
                <w:numId w:val="12"/>
              </w:numPr>
              <w:spacing w:after="0" w:line="240" w:lineRule="auto"/>
              <w:jc w:val="both"/>
              <w:rPr>
                <w:rFonts w:ascii="Arial" w:hAnsi="Arial" w:cs="Arial"/>
                <w:bCs/>
                <w:i/>
                <w:color w:val="595959" w:themeColor="text1" w:themeTint="A6"/>
                <w:sz w:val="20"/>
                <w:szCs w:val="20"/>
              </w:rPr>
            </w:pPr>
            <w:r w:rsidRPr="005E0BFF">
              <w:rPr>
                <w:rFonts w:ascii="Arial" w:hAnsi="Arial" w:cs="Arial"/>
                <w:bCs/>
                <w:i/>
                <w:color w:val="595959" w:themeColor="text1" w:themeTint="A6"/>
                <w:sz w:val="20"/>
                <w:szCs w:val="20"/>
              </w:rPr>
              <w:t>Derechos respecto de los cuales no es posible ejercer su cobro, por cuanto opera alguna causal relacionada con su extinción.</w:t>
            </w:r>
          </w:p>
          <w:p w14:paraId="543EF08E" w14:textId="72C34D21" w:rsidR="005E0BFF" w:rsidRPr="005E0BFF" w:rsidRDefault="005E0BFF" w:rsidP="005E0BFF">
            <w:pPr>
              <w:pStyle w:val="Prrafodelista"/>
              <w:numPr>
                <w:ilvl w:val="0"/>
                <w:numId w:val="12"/>
              </w:numPr>
              <w:spacing w:after="0" w:line="240" w:lineRule="auto"/>
              <w:jc w:val="both"/>
              <w:rPr>
                <w:rFonts w:ascii="Arial" w:hAnsi="Arial" w:cs="Arial"/>
                <w:bCs/>
                <w:i/>
                <w:color w:val="595959" w:themeColor="text1" w:themeTint="A6"/>
                <w:sz w:val="20"/>
                <w:szCs w:val="20"/>
              </w:rPr>
            </w:pPr>
            <w:r w:rsidRPr="005E0BFF">
              <w:rPr>
                <w:rFonts w:ascii="Arial" w:hAnsi="Arial" w:cs="Arial"/>
                <w:bCs/>
                <w:i/>
                <w:color w:val="595959" w:themeColor="text1" w:themeTint="A6"/>
                <w:sz w:val="20"/>
                <w:szCs w:val="20"/>
              </w:rPr>
              <w:t>Derechos e ingresos reconocidos, sobre los cuales no existe posibilidad de flujo hacia la entidad.</w:t>
            </w:r>
          </w:p>
          <w:p w14:paraId="0D9F58FF" w14:textId="76643442" w:rsidR="005E0BFF" w:rsidRPr="005E0BFF" w:rsidRDefault="005E0BFF" w:rsidP="005E0BFF">
            <w:pPr>
              <w:pStyle w:val="Prrafodelista"/>
              <w:numPr>
                <w:ilvl w:val="0"/>
                <w:numId w:val="12"/>
              </w:numPr>
              <w:spacing w:after="0" w:line="240" w:lineRule="auto"/>
              <w:jc w:val="both"/>
              <w:rPr>
                <w:rFonts w:ascii="Arial" w:hAnsi="Arial" w:cs="Arial"/>
                <w:bCs/>
                <w:i/>
                <w:color w:val="595959" w:themeColor="text1" w:themeTint="A6"/>
                <w:sz w:val="20"/>
                <w:szCs w:val="20"/>
              </w:rPr>
            </w:pPr>
            <w:r w:rsidRPr="005E0BFF">
              <w:rPr>
                <w:rFonts w:ascii="Arial" w:hAnsi="Arial" w:cs="Arial"/>
                <w:bCs/>
                <w:i/>
                <w:color w:val="595959" w:themeColor="text1" w:themeTint="A6"/>
                <w:sz w:val="20"/>
                <w:szCs w:val="20"/>
              </w:rPr>
              <w:t>Valores respecto de los cuales no haya sido legalmente posible su imputación a alguna persona por la pérdida de los bienes o derechos que representan.</w:t>
            </w:r>
          </w:p>
          <w:p w14:paraId="0A23BB6B" w14:textId="77777777" w:rsidR="005E0BFF" w:rsidRPr="005E0BFF" w:rsidRDefault="005E0BFF" w:rsidP="005E0BFF">
            <w:pPr>
              <w:spacing w:after="0" w:line="240" w:lineRule="auto"/>
              <w:contextualSpacing/>
              <w:jc w:val="both"/>
              <w:rPr>
                <w:rFonts w:ascii="Arial" w:hAnsi="Arial" w:cs="Arial"/>
                <w:bCs/>
                <w:i/>
                <w:color w:val="595959" w:themeColor="text1" w:themeTint="A6"/>
                <w:sz w:val="20"/>
                <w:szCs w:val="20"/>
              </w:rPr>
            </w:pPr>
          </w:p>
          <w:p w14:paraId="17D99F36" w14:textId="075F93BB" w:rsidR="005E0BFF" w:rsidRPr="005E0BFF" w:rsidRDefault="005E0BFF" w:rsidP="005E0BFF">
            <w:pPr>
              <w:spacing w:after="0" w:line="240" w:lineRule="auto"/>
              <w:contextualSpacing/>
              <w:jc w:val="both"/>
              <w:rPr>
                <w:rFonts w:ascii="Arial" w:hAnsi="Arial" w:cs="Arial"/>
                <w:bCs/>
                <w:i/>
                <w:color w:val="595959" w:themeColor="text1" w:themeTint="A6"/>
                <w:sz w:val="20"/>
                <w:szCs w:val="20"/>
              </w:rPr>
            </w:pPr>
            <w:r w:rsidRPr="005E0BFF">
              <w:rPr>
                <w:rFonts w:ascii="Arial" w:hAnsi="Arial" w:cs="Arial"/>
                <w:bCs/>
                <w:i/>
                <w:color w:val="595959" w:themeColor="text1" w:themeTint="A6"/>
                <w:sz w:val="20"/>
                <w:szCs w:val="20"/>
              </w:rPr>
              <w:t>Obligaciones:</w:t>
            </w:r>
          </w:p>
          <w:p w14:paraId="12BD9BF5" w14:textId="77777777" w:rsidR="005E0BFF" w:rsidRPr="005E0BFF" w:rsidRDefault="005E0BFF" w:rsidP="005E0BFF">
            <w:pPr>
              <w:spacing w:after="0" w:line="240" w:lineRule="auto"/>
              <w:contextualSpacing/>
              <w:jc w:val="both"/>
              <w:rPr>
                <w:rFonts w:ascii="Arial" w:hAnsi="Arial" w:cs="Arial"/>
                <w:bCs/>
                <w:color w:val="595959" w:themeColor="text1" w:themeTint="A6"/>
                <w:sz w:val="20"/>
                <w:szCs w:val="20"/>
              </w:rPr>
            </w:pPr>
          </w:p>
          <w:p w14:paraId="0F14C878" w14:textId="22ADFA14" w:rsidR="005E0BFF" w:rsidRPr="005E0BFF" w:rsidRDefault="005E0BFF" w:rsidP="005E0BFF">
            <w:pPr>
              <w:pStyle w:val="Prrafodelista"/>
              <w:numPr>
                <w:ilvl w:val="0"/>
                <w:numId w:val="13"/>
              </w:numPr>
              <w:spacing w:after="0" w:line="240" w:lineRule="auto"/>
              <w:jc w:val="both"/>
              <w:rPr>
                <w:rFonts w:ascii="Arial" w:hAnsi="Arial" w:cs="Arial"/>
                <w:bCs/>
                <w:i/>
                <w:color w:val="595959" w:themeColor="text1" w:themeTint="A6"/>
                <w:sz w:val="20"/>
                <w:szCs w:val="20"/>
              </w:rPr>
            </w:pPr>
            <w:r w:rsidRPr="005E0BFF">
              <w:rPr>
                <w:rFonts w:ascii="Arial" w:hAnsi="Arial" w:cs="Arial"/>
                <w:bCs/>
                <w:i/>
                <w:color w:val="595959" w:themeColor="text1" w:themeTint="A6"/>
                <w:sz w:val="20"/>
                <w:szCs w:val="20"/>
              </w:rPr>
              <w:t>Obligaciones reconocidas que han sido condonadas o sobre las cuales ya no existe derecho exigible de cobro</w:t>
            </w:r>
          </w:p>
          <w:p w14:paraId="2B5B5B7E" w14:textId="461EAF25" w:rsidR="005E0BFF" w:rsidRPr="005E0BFF" w:rsidRDefault="005E0BFF" w:rsidP="005E0BFF">
            <w:pPr>
              <w:pStyle w:val="Prrafodelista"/>
              <w:numPr>
                <w:ilvl w:val="0"/>
                <w:numId w:val="13"/>
              </w:numPr>
              <w:spacing w:after="0" w:line="240" w:lineRule="auto"/>
              <w:jc w:val="both"/>
              <w:rPr>
                <w:rFonts w:ascii="Arial" w:hAnsi="Arial" w:cs="Arial"/>
                <w:bCs/>
                <w:color w:val="595959" w:themeColor="text1" w:themeTint="A6"/>
                <w:sz w:val="20"/>
                <w:szCs w:val="20"/>
              </w:rPr>
            </w:pPr>
            <w:r w:rsidRPr="005E0BFF">
              <w:rPr>
                <w:rFonts w:ascii="Arial" w:hAnsi="Arial" w:cs="Arial"/>
                <w:bCs/>
                <w:i/>
                <w:color w:val="595959" w:themeColor="text1" w:themeTint="A6"/>
                <w:sz w:val="20"/>
                <w:szCs w:val="20"/>
              </w:rPr>
              <w:t>Obligaciones que jurídicamente se ha extinguido, o sobre las cuales la ley ha establecido su cruce o eliminación</w:t>
            </w:r>
            <w:r w:rsidRPr="005E0BFF">
              <w:rPr>
                <w:rFonts w:ascii="Arial" w:hAnsi="Arial" w:cs="Arial"/>
                <w:bCs/>
                <w:color w:val="595959" w:themeColor="text1" w:themeTint="A6"/>
                <w:sz w:val="20"/>
                <w:szCs w:val="20"/>
              </w:rPr>
              <w:t>.”</w:t>
            </w:r>
          </w:p>
          <w:p w14:paraId="2231FC2E" w14:textId="77777777" w:rsidR="005E0BFF" w:rsidRPr="005E0BFF" w:rsidRDefault="005E0BFF" w:rsidP="005E0BFF">
            <w:pPr>
              <w:pStyle w:val="Prrafodelista"/>
              <w:spacing w:after="0" w:line="240" w:lineRule="auto"/>
              <w:jc w:val="both"/>
              <w:rPr>
                <w:rFonts w:ascii="Arial" w:hAnsi="Arial" w:cs="Arial"/>
                <w:bCs/>
                <w:color w:val="595959" w:themeColor="text1" w:themeTint="A6"/>
                <w:sz w:val="20"/>
                <w:szCs w:val="20"/>
              </w:rPr>
            </w:pPr>
          </w:p>
          <w:p w14:paraId="04D636B5" w14:textId="77777777" w:rsidR="005E0BFF" w:rsidRPr="005E0BFF" w:rsidRDefault="005E0BFF" w:rsidP="005E0BFF">
            <w:pPr>
              <w:spacing w:after="0" w:line="240" w:lineRule="auto"/>
              <w:contextualSpacing/>
              <w:jc w:val="both"/>
              <w:rPr>
                <w:rFonts w:ascii="Arial" w:hAnsi="Arial" w:cs="Arial"/>
                <w:bCs/>
                <w:color w:val="595959" w:themeColor="text1" w:themeTint="A6"/>
                <w:sz w:val="20"/>
                <w:szCs w:val="20"/>
              </w:rPr>
            </w:pPr>
          </w:p>
        </w:tc>
      </w:tr>
      <w:tr w:rsidR="005E0BFF" w:rsidRPr="002619E9" w14:paraId="07B9B46D" w14:textId="77777777" w:rsidTr="00D446D6">
        <w:trPr>
          <w:trHeight w:val="510"/>
        </w:trPr>
        <w:tc>
          <w:tcPr>
            <w:tcW w:w="10490" w:type="dxa"/>
            <w:shd w:val="clear" w:color="auto" w:fill="F2F2F2" w:themeFill="background1" w:themeFillShade="F2"/>
            <w:vAlign w:val="center"/>
          </w:tcPr>
          <w:p w14:paraId="27872C42" w14:textId="78362F01" w:rsidR="005E0BFF" w:rsidRPr="002619E9" w:rsidRDefault="005E0BFF" w:rsidP="005E0BFF">
            <w:pPr>
              <w:snapToGrid w:val="0"/>
              <w:spacing w:after="0" w:line="240" w:lineRule="auto"/>
              <w:contextualSpacing/>
              <w:jc w:val="center"/>
              <w:rPr>
                <w:rFonts w:ascii="Arial" w:hAnsi="Arial" w:cs="Arial"/>
                <w:b/>
                <w:bCs/>
                <w:sz w:val="20"/>
                <w:szCs w:val="20"/>
              </w:rPr>
            </w:pPr>
            <w:r w:rsidRPr="002619E9">
              <w:rPr>
                <w:rFonts w:ascii="Arial" w:hAnsi="Arial" w:cs="Arial"/>
                <w:b/>
                <w:bCs/>
                <w:sz w:val="20"/>
                <w:szCs w:val="20"/>
              </w:rPr>
              <w:lastRenderedPageBreak/>
              <w:t>ANÁLISIS DEL CASO EN CONCRETO</w:t>
            </w:r>
          </w:p>
        </w:tc>
      </w:tr>
      <w:tr w:rsidR="005E0BFF" w:rsidRPr="002619E9" w14:paraId="46226C19" w14:textId="77777777" w:rsidTr="00D446D6">
        <w:trPr>
          <w:trHeight w:val="1814"/>
        </w:trPr>
        <w:tc>
          <w:tcPr>
            <w:tcW w:w="10490" w:type="dxa"/>
            <w:shd w:val="clear" w:color="auto" w:fill="auto"/>
            <w:hideMark/>
          </w:tcPr>
          <w:p w14:paraId="46226C18" w14:textId="782D9A5B" w:rsidR="005E0BFF" w:rsidRPr="002619E9" w:rsidRDefault="005E0BFF" w:rsidP="005E0BFF">
            <w:pPr>
              <w:tabs>
                <w:tab w:val="left" w:pos="8070"/>
              </w:tabs>
              <w:spacing w:line="240" w:lineRule="auto"/>
              <w:contextualSpacing/>
              <w:jc w:val="both"/>
              <w:rPr>
                <w:rFonts w:ascii="Arial" w:hAnsi="Arial" w:cs="Arial"/>
                <w:i/>
                <w:sz w:val="20"/>
                <w:szCs w:val="20"/>
              </w:rPr>
            </w:pPr>
            <w:r>
              <w:rPr>
                <w:rFonts w:ascii="Arial" w:hAnsi="Arial" w:cs="Arial"/>
                <w:i/>
                <w:sz w:val="20"/>
                <w:szCs w:val="20"/>
              </w:rPr>
              <w:tab/>
            </w:r>
          </w:p>
        </w:tc>
      </w:tr>
      <w:tr w:rsidR="005E0BFF" w:rsidRPr="002619E9" w14:paraId="377CCD18" w14:textId="77777777" w:rsidTr="00D446D6">
        <w:trPr>
          <w:trHeight w:val="510"/>
        </w:trPr>
        <w:tc>
          <w:tcPr>
            <w:tcW w:w="10490" w:type="dxa"/>
            <w:shd w:val="clear" w:color="auto" w:fill="F2F2F2" w:themeFill="background1" w:themeFillShade="F2"/>
            <w:vAlign w:val="center"/>
          </w:tcPr>
          <w:p w14:paraId="195D9DD6" w14:textId="42BB91B0" w:rsidR="005E0BFF" w:rsidRPr="002619E9" w:rsidRDefault="005E0BFF" w:rsidP="005E0BFF">
            <w:pPr>
              <w:spacing w:after="0" w:line="240" w:lineRule="auto"/>
              <w:contextualSpacing/>
              <w:jc w:val="center"/>
              <w:rPr>
                <w:rFonts w:ascii="Arial" w:hAnsi="Arial" w:cs="Arial"/>
                <w:b/>
                <w:bCs/>
                <w:sz w:val="20"/>
                <w:szCs w:val="20"/>
              </w:rPr>
            </w:pPr>
            <w:r w:rsidRPr="002619E9">
              <w:rPr>
                <w:rFonts w:ascii="Arial" w:hAnsi="Arial" w:cs="Arial"/>
                <w:b/>
                <w:bCs/>
                <w:sz w:val="20"/>
                <w:szCs w:val="20"/>
              </w:rPr>
              <w:lastRenderedPageBreak/>
              <w:t>ACTUACIONES ADMINISTRATIVAS ADELANTADAS</w:t>
            </w:r>
          </w:p>
        </w:tc>
      </w:tr>
      <w:tr w:rsidR="005E0BFF" w:rsidRPr="002619E9" w14:paraId="2778EE30" w14:textId="77777777" w:rsidTr="00D446D6">
        <w:trPr>
          <w:trHeight w:val="1531"/>
        </w:trPr>
        <w:tc>
          <w:tcPr>
            <w:tcW w:w="10490" w:type="dxa"/>
          </w:tcPr>
          <w:p w14:paraId="3A108988" w14:textId="1A9612D8" w:rsidR="005E0BFF" w:rsidRPr="002619E9" w:rsidRDefault="005E0BFF" w:rsidP="005E0BFF">
            <w:pPr>
              <w:widowControl w:val="0"/>
              <w:suppressAutoHyphens/>
              <w:spacing w:after="0" w:line="240" w:lineRule="auto"/>
              <w:jc w:val="both"/>
              <w:rPr>
                <w:rFonts w:ascii="Arial" w:hAnsi="Arial" w:cs="Arial"/>
                <w:b/>
                <w:bCs/>
                <w:sz w:val="20"/>
                <w:szCs w:val="20"/>
              </w:rPr>
            </w:pPr>
          </w:p>
        </w:tc>
      </w:tr>
      <w:tr w:rsidR="005E0BFF" w:rsidRPr="002619E9" w14:paraId="6D7CE0D2" w14:textId="77777777" w:rsidTr="00D446D6">
        <w:trPr>
          <w:trHeight w:val="466"/>
        </w:trPr>
        <w:tc>
          <w:tcPr>
            <w:tcW w:w="10490" w:type="dxa"/>
            <w:shd w:val="clear" w:color="auto" w:fill="F2F2F2" w:themeFill="background1" w:themeFillShade="F2"/>
            <w:vAlign w:val="center"/>
          </w:tcPr>
          <w:p w14:paraId="6A80E277" w14:textId="5B617269" w:rsidR="005E0BFF" w:rsidRPr="002619E9" w:rsidRDefault="005E0BFF" w:rsidP="005E0BFF">
            <w:pPr>
              <w:spacing w:after="0" w:line="240" w:lineRule="auto"/>
              <w:contextualSpacing/>
              <w:jc w:val="center"/>
              <w:rPr>
                <w:rFonts w:ascii="Arial" w:hAnsi="Arial" w:cs="Arial"/>
                <w:b/>
                <w:bCs/>
                <w:sz w:val="20"/>
                <w:szCs w:val="20"/>
              </w:rPr>
            </w:pPr>
            <w:r w:rsidRPr="002619E9">
              <w:rPr>
                <w:rFonts w:ascii="Arial" w:hAnsi="Arial" w:cs="Arial"/>
                <w:b/>
                <w:bCs/>
                <w:sz w:val="20"/>
                <w:szCs w:val="20"/>
              </w:rPr>
              <w:t>ANALISIS JÚRIDICO</w:t>
            </w:r>
          </w:p>
        </w:tc>
      </w:tr>
      <w:tr w:rsidR="005E0BFF" w:rsidRPr="002619E9" w14:paraId="078CB71A" w14:textId="77777777" w:rsidTr="00D446D6">
        <w:trPr>
          <w:trHeight w:val="2324"/>
        </w:trPr>
        <w:tc>
          <w:tcPr>
            <w:tcW w:w="10490" w:type="dxa"/>
          </w:tcPr>
          <w:p w14:paraId="0B2AE480" w14:textId="53E5429B" w:rsidR="005E0BFF" w:rsidRPr="00D446D6" w:rsidRDefault="005E0BFF" w:rsidP="00D446D6">
            <w:pPr>
              <w:snapToGrid w:val="0"/>
              <w:spacing w:after="0" w:line="240" w:lineRule="auto"/>
              <w:jc w:val="both"/>
              <w:rPr>
                <w:rFonts w:ascii="Arial" w:hAnsi="Arial" w:cs="Arial"/>
                <w:b/>
                <w:bCs/>
                <w:sz w:val="20"/>
                <w:szCs w:val="20"/>
              </w:rPr>
            </w:pPr>
          </w:p>
        </w:tc>
      </w:tr>
      <w:tr w:rsidR="005E0BFF" w:rsidRPr="002619E9" w14:paraId="719A1C74" w14:textId="77777777" w:rsidTr="00D446D6">
        <w:trPr>
          <w:trHeight w:val="510"/>
        </w:trPr>
        <w:tc>
          <w:tcPr>
            <w:tcW w:w="10490" w:type="dxa"/>
            <w:shd w:val="clear" w:color="auto" w:fill="F2F2F2" w:themeFill="background1" w:themeFillShade="F2"/>
            <w:vAlign w:val="center"/>
          </w:tcPr>
          <w:p w14:paraId="38B0CC4B" w14:textId="300377B5" w:rsidR="005E0BFF" w:rsidRPr="002619E9" w:rsidRDefault="005E0BFF" w:rsidP="005E0BFF">
            <w:pPr>
              <w:spacing w:after="0" w:line="240" w:lineRule="auto"/>
              <w:contextualSpacing/>
              <w:jc w:val="center"/>
              <w:rPr>
                <w:rFonts w:ascii="Arial" w:hAnsi="Arial" w:cs="Arial"/>
                <w:b/>
                <w:bCs/>
                <w:sz w:val="20"/>
                <w:szCs w:val="20"/>
              </w:rPr>
            </w:pPr>
            <w:r w:rsidRPr="002619E9">
              <w:rPr>
                <w:rFonts w:ascii="Arial" w:hAnsi="Arial" w:cs="Arial"/>
                <w:b/>
                <w:bCs/>
                <w:sz w:val="20"/>
                <w:szCs w:val="20"/>
              </w:rPr>
              <w:t>CONCLUSION</w:t>
            </w:r>
          </w:p>
        </w:tc>
      </w:tr>
      <w:tr w:rsidR="005E0BFF" w:rsidRPr="002619E9" w14:paraId="48E0D538" w14:textId="77777777" w:rsidTr="00D446D6">
        <w:trPr>
          <w:trHeight w:val="2778"/>
        </w:trPr>
        <w:tc>
          <w:tcPr>
            <w:tcW w:w="10490" w:type="dxa"/>
          </w:tcPr>
          <w:p w14:paraId="651A9C08" w14:textId="021FE220" w:rsidR="005E0BFF" w:rsidRPr="0059057A" w:rsidRDefault="005E0BFF" w:rsidP="005E0BFF">
            <w:pPr>
              <w:spacing w:after="0" w:line="240" w:lineRule="auto"/>
              <w:contextualSpacing/>
              <w:jc w:val="both"/>
              <w:rPr>
                <w:rFonts w:ascii="Arial" w:hAnsi="Arial" w:cs="Arial"/>
                <w:bCs/>
              </w:rPr>
            </w:pPr>
          </w:p>
        </w:tc>
      </w:tr>
      <w:tr w:rsidR="005E0BFF" w:rsidRPr="002619E9" w14:paraId="46226C25" w14:textId="77777777" w:rsidTr="00D446D6">
        <w:trPr>
          <w:trHeight w:val="255"/>
        </w:trPr>
        <w:tc>
          <w:tcPr>
            <w:tcW w:w="10490" w:type="dxa"/>
            <w:tcBorders>
              <w:top w:val="single" w:sz="4" w:space="0" w:color="auto"/>
              <w:left w:val="nil"/>
              <w:bottom w:val="nil"/>
              <w:right w:val="nil"/>
            </w:tcBorders>
          </w:tcPr>
          <w:p w14:paraId="46226C24" w14:textId="523129A7" w:rsidR="005E0BFF" w:rsidRPr="002619E9" w:rsidRDefault="005E0BFF" w:rsidP="005E0BFF">
            <w:pPr>
              <w:spacing w:after="0" w:line="240" w:lineRule="auto"/>
              <w:contextualSpacing/>
              <w:rPr>
                <w:rFonts w:ascii="Arial" w:hAnsi="Arial" w:cs="Arial"/>
                <w:sz w:val="20"/>
                <w:szCs w:val="20"/>
              </w:rPr>
            </w:pPr>
          </w:p>
        </w:tc>
      </w:tr>
    </w:tbl>
    <w:p w14:paraId="46226C3D" w14:textId="334A39E3" w:rsidR="003F5A3A" w:rsidRPr="0006485D" w:rsidRDefault="0006485D" w:rsidP="00D446D6">
      <w:pPr>
        <w:spacing w:line="240" w:lineRule="auto"/>
        <w:ind w:left="-851"/>
        <w:contextualSpacing/>
        <w:jc w:val="both"/>
        <w:rPr>
          <w:rFonts w:ascii="Arial" w:hAnsi="Arial" w:cs="Arial"/>
        </w:rPr>
      </w:pPr>
      <w:r w:rsidRPr="0006485D">
        <w:rPr>
          <w:rFonts w:ascii="Arial" w:hAnsi="Arial" w:cs="Arial"/>
        </w:rPr>
        <w:t xml:space="preserve">La presente certificación se expide con destino al Comité de Sostenibilidad Contable de la </w:t>
      </w:r>
      <w:r w:rsidR="00A075E3">
        <w:rPr>
          <w:rFonts w:ascii="Arial" w:hAnsi="Arial" w:cs="Arial"/>
        </w:rPr>
        <w:t>Personería de Bogotá.</w:t>
      </w:r>
    </w:p>
    <w:p w14:paraId="333A5CBA" w14:textId="2A5E9CD1" w:rsidR="0006485D" w:rsidRDefault="0006485D" w:rsidP="0006485D">
      <w:pPr>
        <w:spacing w:line="240" w:lineRule="auto"/>
        <w:contextualSpacing/>
        <w:jc w:val="both"/>
        <w:rPr>
          <w:rFonts w:ascii="Arial" w:hAnsi="Arial" w:cs="Arial"/>
        </w:rPr>
      </w:pPr>
    </w:p>
    <w:p w14:paraId="0AB2CFD3" w14:textId="42624BE3" w:rsidR="0006485D" w:rsidRDefault="0006485D" w:rsidP="0006485D">
      <w:pPr>
        <w:spacing w:line="240" w:lineRule="auto"/>
        <w:contextualSpacing/>
        <w:jc w:val="both"/>
        <w:rPr>
          <w:rFonts w:ascii="Arial" w:hAnsi="Arial" w:cs="Arial"/>
        </w:rPr>
      </w:pPr>
    </w:p>
    <w:p w14:paraId="50060D45" w14:textId="77777777" w:rsidR="0006485D" w:rsidRDefault="0006485D" w:rsidP="0006485D">
      <w:pPr>
        <w:spacing w:line="240" w:lineRule="auto"/>
        <w:contextualSpacing/>
        <w:jc w:val="both"/>
        <w:rPr>
          <w:rFonts w:ascii="Arial" w:hAnsi="Arial" w:cs="Arial"/>
        </w:rPr>
      </w:pPr>
    </w:p>
    <w:p w14:paraId="551A717C" w14:textId="77777777" w:rsidR="0006485D" w:rsidRPr="0006485D" w:rsidRDefault="0006485D" w:rsidP="00D446D6">
      <w:pPr>
        <w:spacing w:line="240" w:lineRule="auto"/>
        <w:ind w:left="-851"/>
        <w:contextualSpacing/>
        <w:jc w:val="center"/>
        <w:rPr>
          <w:rFonts w:ascii="Arial" w:hAnsi="Arial" w:cs="Arial"/>
        </w:rPr>
      </w:pPr>
    </w:p>
    <w:p w14:paraId="72807391" w14:textId="117ACFF5" w:rsidR="0006485D" w:rsidRPr="0006485D" w:rsidRDefault="0006485D" w:rsidP="00D446D6">
      <w:pPr>
        <w:spacing w:line="240" w:lineRule="auto"/>
        <w:ind w:left="-851"/>
        <w:contextualSpacing/>
        <w:jc w:val="center"/>
        <w:rPr>
          <w:rFonts w:ascii="Arial" w:hAnsi="Arial" w:cs="Arial"/>
        </w:rPr>
      </w:pPr>
      <w:r w:rsidRPr="0006485D">
        <w:rPr>
          <w:rFonts w:ascii="Arial" w:hAnsi="Arial" w:cs="Arial"/>
        </w:rPr>
        <w:t>____________________________________________</w:t>
      </w:r>
    </w:p>
    <w:p w14:paraId="41E5593F" w14:textId="77777777" w:rsidR="009E2965" w:rsidRDefault="009E2965" w:rsidP="00D446D6">
      <w:pPr>
        <w:spacing w:line="240" w:lineRule="auto"/>
        <w:ind w:left="-851"/>
        <w:contextualSpacing/>
        <w:jc w:val="center"/>
        <w:rPr>
          <w:rFonts w:ascii="Arial" w:hAnsi="Arial" w:cs="Arial"/>
        </w:rPr>
      </w:pPr>
    </w:p>
    <w:p w14:paraId="31D166AC" w14:textId="643AE162" w:rsidR="0006485D" w:rsidRPr="005E0BFF" w:rsidRDefault="0006485D" w:rsidP="00D446D6">
      <w:pPr>
        <w:spacing w:line="240" w:lineRule="auto"/>
        <w:ind w:left="-851"/>
        <w:contextualSpacing/>
        <w:jc w:val="center"/>
        <w:rPr>
          <w:rFonts w:ascii="Arial" w:hAnsi="Arial" w:cs="Arial"/>
          <w:b/>
        </w:rPr>
      </w:pPr>
      <w:r w:rsidRPr="005E0BFF">
        <w:rPr>
          <w:rFonts w:ascii="Arial" w:hAnsi="Arial" w:cs="Arial"/>
          <w:b/>
        </w:rPr>
        <w:t>Subdirector de Gestión del Talento Humano</w:t>
      </w:r>
    </w:p>
    <w:p w14:paraId="671F9195" w14:textId="4120F618" w:rsidR="0006485D" w:rsidRDefault="0006485D" w:rsidP="0006485D">
      <w:pPr>
        <w:spacing w:line="240" w:lineRule="auto"/>
        <w:contextualSpacing/>
        <w:jc w:val="center"/>
        <w:rPr>
          <w:rFonts w:ascii="Arial" w:hAnsi="Arial" w:cs="Arial"/>
        </w:rPr>
      </w:pPr>
    </w:p>
    <w:p w14:paraId="288DBEF4" w14:textId="60E34E03" w:rsidR="0006485D" w:rsidRDefault="0006485D" w:rsidP="0006485D">
      <w:pPr>
        <w:spacing w:line="240" w:lineRule="auto"/>
        <w:contextualSpacing/>
        <w:jc w:val="center"/>
        <w:rPr>
          <w:rFonts w:ascii="Arial" w:hAnsi="Arial" w:cs="Arial"/>
        </w:rPr>
      </w:pPr>
    </w:p>
    <w:p w14:paraId="6084EB91" w14:textId="77777777" w:rsidR="00D446D6" w:rsidRDefault="00D446D6" w:rsidP="00D446D6">
      <w:pPr>
        <w:spacing w:line="240" w:lineRule="auto"/>
        <w:ind w:left="-851"/>
        <w:contextualSpacing/>
        <w:jc w:val="both"/>
        <w:rPr>
          <w:rFonts w:ascii="Arial" w:hAnsi="Arial" w:cs="Arial"/>
          <w:sz w:val="16"/>
          <w:szCs w:val="16"/>
        </w:rPr>
      </w:pPr>
    </w:p>
    <w:p w14:paraId="76BF68BA" w14:textId="6809F18F" w:rsidR="0006485D" w:rsidRPr="0006485D" w:rsidRDefault="0006485D" w:rsidP="00D446D6">
      <w:pPr>
        <w:spacing w:line="240" w:lineRule="auto"/>
        <w:ind w:left="-851"/>
        <w:contextualSpacing/>
        <w:jc w:val="both"/>
        <w:rPr>
          <w:rFonts w:ascii="Arial" w:hAnsi="Arial" w:cs="Arial"/>
          <w:sz w:val="16"/>
          <w:szCs w:val="16"/>
        </w:rPr>
      </w:pPr>
      <w:r w:rsidRPr="00D446D6">
        <w:rPr>
          <w:rFonts w:ascii="Arial" w:hAnsi="Arial" w:cs="Arial"/>
          <w:b/>
          <w:sz w:val="16"/>
          <w:szCs w:val="16"/>
        </w:rPr>
        <w:t>Elaboro:</w:t>
      </w:r>
      <w:r w:rsidRPr="0006485D">
        <w:rPr>
          <w:rFonts w:ascii="Arial" w:hAnsi="Arial" w:cs="Arial"/>
          <w:sz w:val="16"/>
          <w:szCs w:val="16"/>
        </w:rPr>
        <w:t xml:space="preserve"> </w:t>
      </w:r>
      <w:r w:rsidR="005E0BFF">
        <w:rPr>
          <w:rFonts w:ascii="Arial" w:hAnsi="Arial" w:cs="Arial"/>
          <w:sz w:val="16"/>
          <w:szCs w:val="16"/>
        </w:rPr>
        <w:t>XXXXXXXX</w:t>
      </w:r>
    </w:p>
    <w:sectPr w:rsidR="0006485D" w:rsidRPr="0006485D" w:rsidSect="00C90586">
      <w:headerReference w:type="even" r:id="rId11"/>
      <w:headerReference w:type="default" r:id="rId12"/>
      <w:footerReference w:type="even" r:id="rId13"/>
      <w:footerReference w:type="default" r:id="rId14"/>
      <w:headerReference w:type="first" r:id="rId15"/>
      <w:footerReference w:type="first" r:id="rId16"/>
      <w:pgSz w:w="12240" w:h="15840" w:code="1"/>
      <w:pgMar w:top="1701" w:right="90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2660B" w14:textId="77777777" w:rsidR="003879CA" w:rsidRDefault="003879CA" w:rsidP="00FB1647">
      <w:pPr>
        <w:spacing w:after="0" w:line="240" w:lineRule="auto"/>
      </w:pPr>
      <w:r>
        <w:separator/>
      </w:r>
    </w:p>
  </w:endnote>
  <w:endnote w:type="continuationSeparator" w:id="0">
    <w:p w14:paraId="60622BEE" w14:textId="77777777" w:rsidR="003879CA" w:rsidRDefault="003879CA" w:rsidP="00FB1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charset w:val="00"/>
    <w:family w:val="roman"/>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jaVuSans">
    <w:altName w:val="Times New Roman"/>
    <w:charset w:val="00"/>
    <w:family w:val="auto"/>
    <w:pitch w:val="variable"/>
  </w:font>
  <w:font w:name="CG Times">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42717" w14:textId="77777777" w:rsidR="00590B95" w:rsidRDefault="00590B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707C4" w14:textId="0DDB96E9" w:rsidR="00141C3C" w:rsidRPr="00C90586" w:rsidRDefault="00141C3C" w:rsidP="00C90586">
    <w:pPr>
      <w:ind w:left="-851"/>
      <w:jc w:val="both"/>
    </w:pPr>
    <w:r w:rsidRPr="008831A8">
      <w:rPr>
        <w:rFonts w:ascii="Arial" w:hAnsi="Arial" w:cs="Arial"/>
        <w:b/>
        <w:sz w:val="18"/>
        <w:szCs w:val="18"/>
      </w:rPr>
      <w:t xml:space="preserve">Nota: </w:t>
    </w:r>
    <w:r w:rsidRPr="00C90586">
      <w:rPr>
        <w:rFonts w:ascii="Arial" w:hAnsi="Arial" w:cs="Arial"/>
        <w:sz w:val="18"/>
        <w:szCs w:val="18"/>
      </w:rPr>
      <w:t>Si este documento se encuentra impreso se considera Copia no Controlada. La versión vigente está publicada en la intranet de la Personería de Bogotá, D.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15281" w14:textId="77777777" w:rsidR="00590B95" w:rsidRDefault="00590B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E3BA7" w14:textId="77777777" w:rsidR="003879CA" w:rsidRDefault="003879CA" w:rsidP="00FB1647">
      <w:pPr>
        <w:spacing w:after="0" w:line="240" w:lineRule="auto"/>
      </w:pPr>
      <w:r>
        <w:separator/>
      </w:r>
    </w:p>
  </w:footnote>
  <w:footnote w:type="continuationSeparator" w:id="0">
    <w:p w14:paraId="1B19A07E" w14:textId="77777777" w:rsidR="003879CA" w:rsidRDefault="003879CA" w:rsidP="00FB1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7BD4" w14:textId="77777777" w:rsidR="00590B95" w:rsidRDefault="00590B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45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4949"/>
      <w:gridCol w:w="1130"/>
      <w:gridCol w:w="1177"/>
    </w:tblGrid>
    <w:tr w:rsidR="005E0BFF" w:rsidRPr="00752D52" w14:paraId="302E1F62" w14:textId="77777777" w:rsidTr="009357DF">
      <w:trPr>
        <w:trHeight w:val="401"/>
      </w:trPr>
      <w:tc>
        <w:tcPr>
          <w:tcW w:w="1546" w:type="pct"/>
          <w:vMerge w:val="restart"/>
          <w:tcBorders>
            <w:top w:val="single" w:sz="4" w:space="0" w:color="auto"/>
            <w:left w:val="single" w:sz="4" w:space="0" w:color="auto"/>
            <w:right w:val="single" w:sz="4" w:space="0" w:color="auto"/>
          </w:tcBorders>
          <w:vAlign w:val="center"/>
        </w:tcPr>
        <w:p w14:paraId="39C77D32" w14:textId="77777777" w:rsidR="005E0BFF" w:rsidRPr="00085BCA" w:rsidRDefault="005E0BFF" w:rsidP="005E0BFF">
          <w:pPr>
            <w:pStyle w:val="Encabezado"/>
            <w:spacing w:after="0" w:line="240" w:lineRule="auto"/>
            <w:jc w:val="center"/>
            <w:rPr>
              <w:noProof/>
              <w:lang w:eastAsia="es-CO"/>
            </w:rPr>
          </w:pPr>
          <w:r w:rsidRPr="006012C3">
            <w:rPr>
              <w:noProof/>
              <w:lang w:eastAsia="es-CO"/>
            </w:rPr>
            <w:drawing>
              <wp:anchor distT="0" distB="0" distL="114300" distR="114300" simplePos="0" relativeHeight="251659264" behindDoc="0" locked="0" layoutInCell="1" allowOverlap="1" wp14:anchorId="6A32A6E6" wp14:editId="74239296">
                <wp:simplePos x="0" y="0"/>
                <wp:positionH relativeFrom="column">
                  <wp:posOffset>54610</wp:posOffset>
                </wp:positionH>
                <wp:positionV relativeFrom="paragraph">
                  <wp:posOffset>-47625</wp:posOffset>
                </wp:positionV>
                <wp:extent cx="1800860" cy="561975"/>
                <wp:effectExtent l="0" t="0" r="889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86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355" w:type="pct"/>
          <w:vMerge w:val="restart"/>
          <w:tcBorders>
            <w:top w:val="single" w:sz="4" w:space="0" w:color="auto"/>
            <w:left w:val="single" w:sz="4" w:space="0" w:color="auto"/>
            <w:right w:val="single" w:sz="4" w:space="0" w:color="auto"/>
          </w:tcBorders>
          <w:shd w:val="clear" w:color="auto" w:fill="auto"/>
          <w:vAlign w:val="center"/>
        </w:tcPr>
        <w:p w14:paraId="351AA727" w14:textId="3D715649" w:rsidR="005E0BFF" w:rsidRPr="005E0BFF" w:rsidRDefault="005E0BFF" w:rsidP="005E0BFF">
          <w:pPr>
            <w:pStyle w:val="Encabezado"/>
            <w:spacing w:after="0" w:line="240" w:lineRule="auto"/>
            <w:jc w:val="center"/>
            <w:rPr>
              <w:rFonts w:ascii="Arial" w:hAnsi="Arial" w:cs="Arial"/>
              <w:b/>
              <w:color w:val="000000"/>
            </w:rPr>
          </w:pPr>
          <w:r w:rsidRPr="005E0BFF">
            <w:rPr>
              <w:rFonts w:ascii="Arial" w:hAnsi="Arial" w:cs="Arial"/>
              <w:b/>
            </w:rPr>
            <w:t>FICHA DEPURACIÓN CONTABLE</w:t>
          </w:r>
        </w:p>
      </w:tc>
      <w:tc>
        <w:tcPr>
          <w:tcW w:w="1098" w:type="pct"/>
          <w:gridSpan w:val="2"/>
          <w:tcBorders>
            <w:top w:val="single" w:sz="4" w:space="0" w:color="auto"/>
            <w:left w:val="single" w:sz="4" w:space="0" w:color="auto"/>
            <w:right w:val="single" w:sz="4" w:space="0" w:color="auto"/>
          </w:tcBorders>
          <w:vAlign w:val="center"/>
        </w:tcPr>
        <w:p w14:paraId="5A8B61A7" w14:textId="77D0C454" w:rsidR="005E0BFF" w:rsidRPr="005E0BFF" w:rsidRDefault="005E0BFF" w:rsidP="005E0BFF">
          <w:pPr>
            <w:pStyle w:val="Encabezado"/>
            <w:tabs>
              <w:tab w:val="left" w:pos="0"/>
            </w:tabs>
            <w:spacing w:after="0" w:line="240" w:lineRule="auto"/>
            <w:rPr>
              <w:rFonts w:ascii="Arial" w:hAnsi="Arial" w:cs="Arial"/>
              <w:b/>
              <w:sz w:val="18"/>
              <w:szCs w:val="32"/>
            </w:rPr>
          </w:pPr>
          <w:r w:rsidRPr="005E0BFF">
            <w:rPr>
              <w:rFonts w:ascii="Arial" w:hAnsi="Arial" w:cs="Arial"/>
              <w:b/>
              <w:sz w:val="18"/>
              <w:szCs w:val="32"/>
            </w:rPr>
            <w:t xml:space="preserve">Código: </w:t>
          </w:r>
          <w:r w:rsidR="003462E8">
            <w:rPr>
              <w:rFonts w:ascii="Arial" w:hAnsi="Arial" w:cs="Arial"/>
              <w:b/>
              <w:sz w:val="18"/>
              <w:szCs w:val="32"/>
            </w:rPr>
            <w:t>10-FR-</w:t>
          </w:r>
          <w:r w:rsidR="00922223">
            <w:rPr>
              <w:rFonts w:ascii="Arial" w:hAnsi="Arial" w:cs="Arial"/>
              <w:b/>
              <w:sz w:val="18"/>
              <w:szCs w:val="32"/>
            </w:rPr>
            <w:t>10</w:t>
          </w:r>
        </w:p>
      </w:tc>
    </w:tr>
    <w:tr w:rsidR="009357DF" w:rsidRPr="00752D52" w14:paraId="5076EE35" w14:textId="77777777" w:rsidTr="009357DF">
      <w:trPr>
        <w:trHeight w:val="515"/>
      </w:trPr>
      <w:tc>
        <w:tcPr>
          <w:tcW w:w="1546" w:type="pct"/>
          <w:vMerge/>
          <w:tcBorders>
            <w:top w:val="single" w:sz="4" w:space="0" w:color="auto"/>
            <w:left w:val="single" w:sz="4" w:space="0" w:color="auto"/>
            <w:right w:val="single" w:sz="4" w:space="0" w:color="auto"/>
          </w:tcBorders>
          <w:vAlign w:val="center"/>
        </w:tcPr>
        <w:p w14:paraId="7476B2AA" w14:textId="77777777" w:rsidR="005E0BFF" w:rsidRPr="003C561E" w:rsidRDefault="005E0BFF" w:rsidP="005E0BFF">
          <w:pPr>
            <w:pStyle w:val="Encabezado"/>
            <w:spacing w:after="0" w:line="240" w:lineRule="auto"/>
            <w:jc w:val="center"/>
            <w:rPr>
              <w:noProof/>
              <w:lang w:eastAsia="es-CO"/>
            </w:rPr>
          </w:pPr>
        </w:p>
      </w:tc>
      <w:tc>
        <w:tcPr>
          <w:tcW w:w="2355" w:type="pct"/>
          <w:vMerge/>
          <w:tcBorders>
            <w:left w:val="single" w:sz="4" w:space="0" w:color="auto"/>
            <w:right w:val="single" w:sz="4" w:space="0" w:color="auto"/>
          </w:tcBorders>
          <w:shd w:val="clear" w:color="auto" w:fill="auto"/>
          <w:vAlign w:val="center"/>
        </w:tcPr>
        <w:p w14:paraId="08B10937" w14:textId="77777777" w:rsidR="005E0BFF" w:rsidRPr="0092326A" w:rsidRDefault="005E0BFF" w:rsidP="005E0BFF">
          <w:pPr>
            <w:pStyle w:val="Encabezado"/>
            <w:spacing w:after="0" w:line="240" w:lineRule="auto"/>
            <w:jc w:val="center"/>
            <w:rPr>
              <w:rFonts w:ascii="Arial" w:hAnsi="Arial" w:cs="Arial"/>
              <w:color w:val="000000"/>
            </w:rPr>
          </w:pPr>
        </w:p>
      </w:tc>
      <w:tc>
        <w:tcPr>
          <w:tcW w:w="538" w:type="pct"/>
          <w:tcBorders>
            <w:left w:val="single" w:sz="4" w:space="0" w:color="auto"/>
            <w:right w:val="single" w:sz="4" w:space="0" w:color="auto"/>
          </w:tcBorders>
          <w:vAlign w:val="center"/>
        </w:tcPr>
        <w:p w14:paraId="5F7F81BA" w14:textId="77777777" w:rsidR="005E0BFF" w:rsidRDefault="005E0BFF" w:rsidP="005E0BFF">
          <w:pPr>
            <w:pStyle w:val="Encabezado"/>
            <w:spacing w:after="0" w:line="240" w:lineRule="auto"/>
            <w:rPr>
              <w:rFonts w:ascii="Arial" w:hAnsi="Arial" w:cs="Arial"/>
              <w:b/>
              <w:sz w:val="18"/>
              <w:szCs w:val="32"/>
            </w:rPr>
          </w:pPr>
          <w:r w:rsidRPr="005E0BFF">
            <w:rPr>
              <w:rFonts w:ascii="Arial" w:hAnsi="Arial" w:cs="Arial"/>
              <w:b/>
              <w:sz w:val="18"/>
              <w:szCs w:val="32"/>
            </w:rPr>
            <w:t>Versión:</w:t>
          </w:r>
        </w:p>
        <w:p w14:paraId="0ABB345D" w14:textId="7EA98991" w:rsidR="005E0BFF" w:rsidRPr="009677CC" w:rsidRDefault="005E0BFF" w:rsidP="005E0BFF">
          <w:pPr>
            <w:pStyle w:val="Encabezado"/>
            <w:spacing w:after="0" w:line="240" w:lineRule="auto"/>
            <w:rPr>
              <w:rFonts w:ascii="Arial" w:hAnsi="Arial" w:cs="Arial"/>
              <w:sz w:val="18"/>
              <w:szCs w:val="32"/>
            </w:rPr>
          </w:pPr>
          <w:r>
            <w:rPr>
              <w:rFonts w:ascii="Arial" w:hAnsi="Arial" w:cs="Arial"/>
              <w:sz w:val="18"/>
              <w:szCs w:val="32"/>
            </w:rPr>
            <w:t>1</w:t>
          </w:r>
        </w:p>
      </w:tc>
      <w:tc>
        <w:tcPr>
          <w:tcW w:w="560" w:type="pct"/>
          <w:tcBorders>
            <w:left w:val="single" w:sz="4" w:space="0" w:color="auto"/>
            <w:right w:val="single" w:sz="4" w:space="0" w:color="auto"/>
          </w:tcBorders>
          <w:vAlign w:val="center"/>
        </w:tcPr>
        <w:p w14:paraId="4AD47BCC" w14:textId="77777777" w:rsidR="005E0BFF" w:rsidRPr="005E0BFF" w:rsidRDefault="005E0BFF" w:rsidP="005E0BFF">
          <w:pPr>
            <w:pStyle w:val="Encabezado"/>
            <w:spacing w:after="0" w:line="240" w:lineRule="auto"/>
            <w:rPr>
              <w:rFonts w:ascii="Arial" w:hAnsi="Arial" w:cs="Arial"/>
              <w:b/>
              <w:sz w:val="18"/>
              <w:szCs w:val="32"/>
            </w:rPr>
          </w:pPr>
          <w:r w:rsidRPr="005E0BFF">
            <w:rPr>
              <w:rFonts w:ascii="Arial" w:hAnsi="Arial" w:cs="Arial"/>
              <w:b/>
              <w:sz w:val="18"/>
              <w:szCs w:val="18"/>
            </w:rPr>
            <w:t>Página:</w:t>
          </w:r>
        </w:p>
        <w:p w14:paraId="549E1ACC" w14:textId="77777777" w:rsidR="005E0BFF" w:rsidRPr="009677CC" w:rsidRDefault="005E0BFF" w:rsidP="005E0BFF">
          <w:pPr>
            <w:pStyle w:val="Encabezado"/>
            <w:spacing w:after="0" w:line="240" w:lineRule="auto"/>
            <w:rPr>
              <w:rFonts w:ascii="Arial" w:hAnsi="Arial" w:cs="Arial"/>
              <w:sz w:val="18"/>
              <w:szCs w:val="32"/>
            </w:rPr>
          </w:pPr>
          <w:r w:rsidRPr="009677CC">
            <w:rPr>
              <w:rFonts w:ascii="Arial" w:hAnsi="Arial" w:cs="Arial"/>
              <w:sz w:val="18"/>
              <w:szCs w:val="18"/>
            </w:rPr>
            <w:t xml:space="preserve"> </w:t>
          </w:r>
          <w:r w:rsidRPr="009677CC">
            <w:rPr>
              <w:rStyle w:val="Nmerodepgina"/>
              <w:rFonts w:ascii="Arial" w:hAnsi="Arial" w:cs="Arial"/>
              <w:sz w:val="18"/>
              <w:szCs w:val="18"/>
            </w:rPr>
            <w:fldChar w:fldCharType="begin"/>
          </w:r>
          <w:r w:rsidRPr="009677CC">
            <w:rPr>
              <w:rStyle w:val="Nmerodepgina"/>
              <w:rFonts w:ascii="Arial" w:hAnsi="Arial" w:cs="Arial"/>
              <w:sz w:val="18"/>
              <w:szCs w:val="18"/>
            </w:rPr>
            <w:instrText xml:space="preserve"> PAGE   \* MERGEFORMAT </w:instrText>
          </w:r>
          <w:r w:rsidRPr="009677CC">
            <w:rPr>
              <w:rStyle w:val="Nmerodepgina"/>
              <w:rFonts w:ascii="Arial" w:hAnsi="Arial" w:cs="Arial"/>
              <w:sz w:val="18"/>
              <w:szCs w:val="18"/>
            </w:rPr>
            <w:fldChar w:fldCharType="separate"/>
          </w:r>
          <w:r>
            <w:rPr>
              <w:rStyle w:val="Nmerodepgina"/>
              <w:rFonts w:ascii="Arial" w:hAnsi="Arial" w:cs="Arial"/>
              <w:noProof/>
              <w:sz w:val="18"/>
              <w:szCs w:val="18"/>
            </w:rPr>
            <w:t>1</w:t>
          </w:r>
          <w:r w:rsidRPr="009677CC">
            <w:rPr>
              <w:rStyle w:val="Nmerodepgina"/>
              <w:rFonts w:ascii="Arial" w:hAnsi="Arial" w:cs="Arial"/>
              <w:sz w:val="18"/>
              <w:szCs w:val="18"/>
            </w:rPr>
            <w:fldChar w:fldCharType="end"/>
          </w:r>
          <w:r w:rsidRPr="009677CC">
            <w:rPr>
              <w:rStyle w:val="Nmerodepgina"/>
              <w:rFonts w:ascii="Arial" w:hAnsi="Arial" w:cs="Arial"/>
              <w:sz w:val="18"/>
              <w:szCs w:val="18"/>
            </w:rPr>
            <w:t xml:space="preserve"> </w:t>
          </w:r>
          <w:r w:rsidRPr="009677CC">
            <w:rPr>
              <w:rFonts w:ascii="Arial" w:hAnsi="Arial" w:cs="Arial"/>
              <w:sz w:val="18"/>
              <w:szCs w:val="18"/>
              <w:lang w:val="es-MX"/>
            </w:rPr>
            <w:t xml:space="preserve">de </w:t>
          </w:r>
          <w:r w:rsidRPr="009677CC">
            <w:rPr>
              <w:rStyle w:val="Nmerodepgina"/>
              <w:rFonts w:ascii="Arial" w:hAnsi="Arial" w:cs="Arial"/>
              <w:sz w:val="18"/>
              <w:szCs w:val="18"/>
            </w:rPr>
            <w:fldChar w:fldCharType="begin"/>
          </w:r>
          <w:r w:rsidRPr="009677CC">
            <w:rPr>
              <w:rStyle w:val="Nmerodepgina"/>
              <w:rFonts w:ascii="Arial" w:hAnsi="Arial" w:cs="Arial"/>
              <w:sz w:val="18"/>
              <w:szCs w:val="18"/>
            </w:rPr>
            <w:instrText xml:space="preserve"> NUMPAGES  </w:instrText>
          </w:r>
          <w:r w:rsidRPr="009677CC">
            <w:rPr>
              <w:rStyle w:val="Nmerodepgina"/>
              <w:rFonts w:ascii="Arial" w:hAnsi="Arial" w:cs="Arial"/>
              <w:sz w:val="18"/>
              <w:szCs w:val="18"/>
            </w:rPr>
            <w:fldChar w:fldCharType="separate"/>
          </w:r>
          <w:r>
            <w:rPr>
              <w:rStyle w:val="Nmerodepgina"/>
              <w:rFonts w:ascii="Arial" w:hAnsi="Arial" w:cs="Arial"/>
              <w:noProof/>
              <w:sz w:val="18"/>
              <w:szCs w:val="18"/>
            </w:rPr>
            <w:t>4</w:t>
          </w:r>
          <w:r w:rsidRPr="009677CC">
            <w:rPr>
              <w:rStyle w:val="Nmerodepgina"/>
              <w:rFonts w:ascii="Arial" w:hAnsi="Arial" w:cs="Arial"/>
              <w:sz w:val="18"/>
              <w:szCs w:val="18"/>
            </w:rPr>
            <w:fldChar w:fldCharType="end"/>
          </w:r>
        </w:p>
      </w:tc>
    </w:tr>
    <w:tr w:rsidR="005E0BFF" w:rsidRPr="00752D52" w14:paraId="6FCB6D72" w14:textId="77777777" w:rsidTr="009357DF">
      <w:trPr>
        <w:trHeight w:val="458"/>
      </w:trPr>
      <w:tc>
        <w:tcPr>
          <w:tcW w:w="1546" w:type="pct"/>
          <w:vMerge/>
          <w:tcBorders>
            <w:left w:val="single" w:sz="4" w:space="0" w:color="auto"/>
            <w:bottom w:val="single" w:sz="4" w:space="0" w:color="auto"/>
            <w:right w:val="single" w:sz="4" w:space="0" w:color="auto"/>
          </w:tcBorders>
          <w:vAlign w:val="center"/>
        </w:tcPr>
        <w:p w14:paraId="7D9D48E2" w14:textId="77777777" w:rsidR="005E0BFF" w:rsidRPr="00085BCA" w:rsidRDefault="005E0BFF" w:rsidP="005E0BFF">
          <w:pPr>
            <w:pStyle w:val="Encabezado"/>
            <w:spacing w:after="0" w:line="240" w:lineRule="auto"/>
            <w:jc w:val="center"/>
            <w:rPr>
              <w:noProof/>
              <w:lang w:eastAsia="es-CO"/>
            </w:rPr>
          </w:pPr>
        </w:p>
      </w:tc>
      <w:tc>
        <w:tcPr>
          <w:tcW w:w="2355" w:type="pct"/>
          <w:vMerge/>
          <w:tcBorders>
            <w:left w:val="single" w:sz="4" w:space="0" w:color="auto"/>
            <w:bottom w:val="single" w:sz="4" w:space="0" w:color="auto"/>
            <w:right w:val="single" w:sz="4" w:space="0" w:color="auto"/>
          </w:tcBorders>
          <w:shd w:val="clear" w:color="auto" w:fill="auto"/>
          <w:vAlign w:val="center"/>
        </w:tcPr>
        <w:p w14:paraId="1601F9F2" w14:textId="77777777" w:rsidR="005E0BFF" w:rsidRPr="0092326A" w:rsidRDefault="005E0BFF" w:rsidP="005E0BFF">
          <w:pPr>
            <w:pStyle w:val="Encabezado"/>
            <w:spacing w:after="0" w:line="240" w:lineRule="auto"/>
            <w:jc w:val="center"/>
            <w:rPr>
              <w:rFonts w:ascii="Arial" w:hAnsi="Arial" w:cs="Arial"/>
              <w:color w:val="000000"/>
            </w:rPr>
          </w:pPr>
        </w:p>
      </w:tc>
      <w:tc>
        <w:tcPr>
          <w:tcW w:w="1098" w:type="pct"/>
          <w:gridSpan w:val="2"/>
          <w:tcBorders>
            <w:left w:val="single" w:sz="4" w:space="0" w:color="auto"/>
            <w:bottom w:val="single" w:sz="4" w:space="0" w:color="auto"/>
            <w:right w:val="single" w:sz="4" w:space="0" w:color="auto"/>
          </w:tcBorders>
          <w:vAlign w:val="center"/>
        </w:tcPr>
        <w:p w14:paraId="502AF1DD" w14:textId="77777777" w:rsidR="005E0BFF" w:rsidRPr="005E0BFF" w:rsidRDefault="005E0BFF" w:rsidP="005E0BFF">
          <w:pPr>
            <w:pStyle w:val="Encabezado"/>
            <w:spacing w:after="0" w:line="240" w:lineRule="auto"/>
            <w:rPr>
              <w:rFonts w:ascii="Arial" w:hAnsi="Arial" w:cs="Arial"/>
              <w:b/>
              <w:sz w:val="18"/>
              <w:szCs w:val="32"/>
            </w:rPr>
          </w:pPr>
          <w:r w:rsidRPr="005E0BFF">
            <w:rPr>
              <w:rFonts w:ascii="Arial" w:hAnsi="Arial" w:cs="Arial"/>
              <w:b/>
              <w:sz w:val="18"/>
              <w:szCs w:val="32"/>
            </w:rPr>
            <w:t xml:space="preserve">Vigente desde: </w:t>
          </w:r>
        </w:p>
        <w:p w14:paraId="42E895E6" w14:textId="3C805F0B" w:rsidR="005E0BFF" w:rsidRPr="005E0BFF" w:rsidRDefault="00590B95" w:rsidP="005E0BFF">
          <w:pPr>
            <w:pStyle w:val="Encabezado"/>
            <w:spacing w:after="0" w:line="240" w:lineRule="auto"/>
            <w:rPr>
              <w:rFonts w:ascii="Arial" w:hAnsi="Arial" w:cs="Arial"/>
              <w:sz w:val="18"/>
              <w:szCs w:val="32"/>
            </w:rPr>
          </w:pPr>
          <w:r>
            <w:rPr>
              <w:rFonts w:ascii="Arial" w:hAnsi="Arial" w:cs="Arial"/>
              <w:sz w:val="18"/>
              <w:szCs w:val="32"/>
            </w:rPr>
            <w:t>9</w:t>
          </w:r>
          <w:bookmarkStart w:id="0" w:name="_GoBack"/>
          <w:bookmarkEnd w:id="0"/>
          <w:r w:rsidR="005E0BFF">
            <w:rPr>
              <w:rFonts w:ascii="Arial" w:hAnsi="Arial" w:cs="Arial"/>
              <w:sz w:val="18"/>
              <w:szCs w:val="32"/>
            </w:rPr>
            <w:t>/10/2019</w:t>
          </w:r>
        </w:p>
      </w:tc>
    </w:tr>
  </w:tbl>
  <w:p w14:paraId="16896E08" w14:textId="6F739178" w:rsidR="009E2965" w:rsidRDefault="009E2965" w:rsidP="005E0BFF">
    <w:pPr>
      <w:pStyle w:val="Encabezado"/>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687EC" w14:textId="77777777" w:rsidR="00590B95" w:rsidRDefault="00590B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172091"/>
    <w:multiLevelType w:val="hybridMultilevel"/>
    <w:tmpl w:val="45AE98B2"/>
    <w:lvl w:ilvl="0" w:tplc="BFF0F16C">
      <w:start w:val="1"/>
      <w:numFmt w:val="lowerLetter"/>
      <w:lvlText w:val="%1."/>
      <w:lvlJc w:val="left"/>
      <w:pPr>
        <w:ind w:left="1494" w:hanging="360"/>
      </w:pPr>
      <w:rPr>
        <w:rFonts w:hint="default"/>
        <w:color w:val="5B9BD5" w:themeColor="accent1"/>
        <w:sz w:val="20"/>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5" w15:restartNumberingAfterBreak="0">
    <w:nsid w:val="12295BF8"/>
    <w:multiLevelType w:val="hybridMultilevel"/>
    <w:tmpl w:val="167E63D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633DA0"/>
    <w:multiLevelType w:val="hybridMultilevel"/>
    <w:tmpl w:val="E12E5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055791"/>
    <w:multiLevelType w:val="hybridMultilevel"/>
    <w:tmpl w:val="32CC126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70ABD"/>
    <w:multiLevelType w:val="hybridMultilevel"/>
    <w:tmpl w:val="0E764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37C543F"/>
    <w:multiLevelType w:val="hybridMultilevel"/>
    <w:tmpl w:val="88720A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5407A1"/>
    <w:multiLevelType w:val="hybridMultilevel"/>
    <w:tmpl w:val="731EE4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DED5E05"/>
    <w:multiLevelType w:val="hybridMultilevel"/>
    <w:tmpl w:val="D5549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43B2E7E"/>
    <w:multiLevelType w:val="hybridMultilevel"/>
    <w:tmpl w:val="8EDE6F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96A0047"/>
    <w:multiLevelType w:val="hybridMultilevel"/>
    <w:tmpl w:val="9E964C2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596668B"/>
    <w:multiLevelType w:val="hybridMultilevel"/>
    <w:tmpl w:val="38E86EA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4"/>
  </w:num>
  <w:num w:numId="5">
    <w:abstractNumId w:val="5"/>
  </w:num>
  <w:num w:numId="6">
    <w:abstractNumId w:val="4"/>
  </w:num>
  <w:num w:numId="7">
    <w:abstractNumId w:val="1"/>
  </w:num>
  <w:num w:numId="8">
    <w:abstractNumId w:val="11"/>
  </w:num>
  <w:num w:numId="9">
    <w:abstractNumId w:val="6"/>
  </w:num>
  <w:num w:numId="10">
    <w:abstractNumId w:val="8"/>
  </w:num>
  <w:num w:numId="11">
    <w:abstractNumId w:val="9"/>
  </w:num>
  <w:num w:numId="12">
    <w:abstractNumId w:val="7"/>
  </w:num>
  <w:num w:numId="13">
    <w:abstractNumId w:val="1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658"/>
    <w:rsid w:val="00026219"/>
    <w:rsid w:val="0002676F"/>
    <w:rsid w:val="00037AEA"/>
    <w:rsid w:val="000413BE"/>
    <w:rsid w:val="00047D9F"/>
    <w:rsid w:val="0006485D"/>
    <w:rsid w:val="000670FC"/>
    <w:rsid w:val="00071404"/>
    <w:rsid w:val="00072035"/>
    <w:rsid w:val="00083C1F"/>
    <w:rsid w:val="0008440D"/>
    <w:rsid w:val="000922F9"/>
    <w:rsid w:val="000A0152"/>
    <w:rsid w:val="000A6B67"/>
    <w:rsid w:val="0010008E"/>
    <w:rsid w:val="00102B64"/>
    <w:rsid w:val="00112223"/>
    <w:rsid w:val="00121401"/>
    <w:rsid w:val="00125B4B"/>
    <w:rsid w:val="00131474"/>
    <w:rsid w:val="00140AAA"/>
    <w:rsid w:val="00141C3C"/>
    <w:rsid w:val="0015781A"/>
    <w:rsid w:val="00157F8A"/>
    <w:rsid w:val="001700CA"/>
    <w:rsid w:val="001724C3"/>
    <w:rsid w:val="0018644E"/>
    <w:rsid w:val="001A370D"/>
    <w:rsid w:val="001B3071"/>
    <w:rsid w:val="001F21FA"/>
    <w:rsid w:val="00223994"/>
    <w:rsid w:val="00224337"/>
    <w:rsid w:val="00230DAA"/>
    <w:rsid w:val="002619E9"/>
    <w:rsid w:val="0026247D"/>
    <w:rsid w:val="00266A73"/>
    <w:rsid w:val="002807CB"/>
    <w:rsid w:val="002B62A7"/>
    <w:rsid w:val="002D5961"/>
    <w:rsid w:val="002D7815"/>
    <w:rsid w:val="002F1EFF"/>
    <w:rsid w:val="00344EE2"/>
    <w:rsid w:val="003462E8"/>
    <w:rsid w:val="00366DD8"/>
    <w:rsid w:val="00380493"/>
    <w:rsid w:val="003879CA"/>
    <w:rsid w:val="003B057D"/>
    <w:rsid w:val="003B3099"/>
    <w:rsid w:val="003F5A3A"/>
    <w:rsid w:val="0042119D"/>
    <w:rsid w:val="004523E4"/>
    <w:rsid w:val="004609ED"/>
    <w:rsid w:val="00463962"/>
    <w:rsid w:val="00470F70"/>
    <w:rsid w:val="00491D0B"/>
    <w:rsid w:val="004A3036"/>
    <w:rsid w:val="004A52B1"/>
    <w:rsid w:val="004B1805"/>
    <w:rsid w:val="004B2A17"/>
    <w:rsid w:val="004C3FE6"/>
    <w:rsid w:val="004D2D85"/>
    <w:rsid w:val="004D76FA"/>
    <w:rsid w:val="004E2658"/>
    <w:rsid w:val="00504D1C"/>
    <w:rsid w:val="00531AB9"/>
    <w:rsid w:val="0053750C"/>
    <w:rsid w:val="00564109"/>
    <w:rsid w:val="00566019"/>
    <w:rsid w:val="0057488D"/>
    <w:rsid w:val="00576B82"/>
    <w:rsid w:val="0059057A"/>
    <w:rsid w:val="00590B95"/>
    <w:rsid w:val="005A3252"/>
    <w:rsid w:val="005B4E85"/>
    <w:rsid w:val="005B6F85"/>
    <w:rsid w:val="005C0E7C"/>
    <w:rsid w:val="005D67A9"/>
    <w:rsid w:val="005E0BFF"/>
    <w:rsid w:val="005E0EF2"/>
    <w:rsid w:val="00632495"/>
    <w:rsid w:val="00634634"/>
    <w:rsid w:val="006441D1"/>
    <w:rsid w:val="006522D7"/>
    <w:rsid w:val="00660389"/>
    <w:rsid w:val="00664C4A"/>
    <w:rsid w:val="006A1F47"/>
    <w:rsid w:val="006B2C48"/>
    <w:rsid w:val="006C5CCC"/>
    <w:rsid w:val="006F36B2"/>
    <w:rsid w:val="006F3F8E"/>
    <w:rsid w:val="007003E7"/>
    <w:rsid w:val="007164EE"/>
    <w:rsid w:val="00732571"/>
    <w:rsid w:val="0075112E"/>
    <w:rsid w:val="007816A0"/>
    <w:rsid w:val="00782792"/>
    <w:rsid w:val="007A2088"/>
    <w:rsid w:val="007B1704"/>
    <w:rsid w:val="007C350B"/>
    <w:rsid w:val="007F6559"/>
    <w:rsid w:val="00802B3E"/>
    <w:rsid w:val="00806ADA"/>
    <w:rsid w:val="00870C47"/>
    <w:rsid w:val="00871F21"/>
    <w:rsid w:val="00874FBB"/>
    <w:rsid w:val="008848BB"/>
    <w:rsid w:val="00884A63"/>
    <w:rsid w:val="008A18B2"/>
    <w:rsid w:val="008A416A"/>
    <w:rsid w:val="008B61C2"/>
    <w:rsid w:val="008C7D1E"/>
    <w:rsid w:val="008D2F80"/>
    <w:rsid w:val="008E4ECA"/>
    <w:rsid w:val="008E61D5"/>
    <w:rsid w:val="00902843"/>
    <w:rsid w:val="00922223"/>
    <w:rsid w:val="009357DF"/>
    <w:rsid w:val="00972FC1"/>
    <w:rsid w:val="00983BBA"/>
    <w:rsid w:val="0098453F"/>
    <w:rsid w:val="009941D2"/>
    <w:rsid w:val="009A0F21"/>
    <w:rsid w:val="009A1A99"/>
    <w:rsid w:val="009E2965"/>
    <w:rsid w:val="009E3697"/>
    <w:rsid w:val="009E7819"/>
    <w:rsid w:val="009F4FE9"/>
    <w:rsid w:val="00A02FE1"/>
    <w:rsid w:val="00A075E3"/>
    <w:rsid w:val="00A21A8F"/>
    <w:rsid w:val="00A225F9"/>
    <w:rsid w:val="00A258B3"/>
    <w:rsid w:val="00A537FF"/>
    <w:rsid w:val="00A641EF"/>
    <w:rsid w:val="00A670EC"/>
    <w:rsid w:val="00A95B47"/>
    <w:rsid w:val="00A96EF5"/>
    <w:rsid w:val="00AB067E"/>
    <w:rsid w:val="00AC5B2E"/>
    <w:rsid w:val="00AD6F27"/>
    <w:rsid w:val="00AF0168"/>
    <w:rsid w:val="00B0390E"/>
    <w:rsid w:val="00B6101D"/>
    <w:rsid w:val="00B61C2D"/>
    <w:rsid w:val="00B75D9A"/>
    <w:rsid w:val="00B868C9"/>
    <w:rsid w:val="00B9425C"/>
    <w:rsid w:val="00B94B2E"/>
    <w:rsid w:val="00BA7A9F"/>
    <w:rsid w:val="00BC4685"/>
    <w:rsid w:val="00BC535B"/>
    <w:rsid w:val="00BD54BE"/>
    <w:rsid w:val="00BE500A"/>
    <w:rsid w:val="00BF16BA"/>
    <w:rsid w:val="00BF2230"/>
    <w:rsid w:val="00C000B1"/>
    <w:rsid w:val="00C04468"/>
    <w:rsid w:val="00C052D7"/>
    <w:rsid w:val="00C066EF"/>
    <w:rsid w:val="00C225A1"/>
    <w:rsid w:val="00C33579"/>
    <w:rsid w:val="00C3370C"/>
    <w:rsid w:val="00C357D2"/>
    <w:rsid w:val="00C7244C"/>
    <w:rsid w:val="00C7614E"/>
    <w:rsid w:val="00C87FC7"/>
    <w:rsid w:val="00C90586"/>
    <w:rsid w:val="00CA7E3B"/>
    <w:rsid w:val="00CB667C"/>
    <w:rsid w:val="00CD420A"/>
    <w:rsid w:val="00CE1C2A"/>
    <w:rsid w:val="00CE5701"/>
    <w:rsid w:val="00D024D8"/>
    <w:rsid w:val="00D21F87"/>
    <w:rsid w:val="00D30BF8"/>
    <w:rsid w:val="00D367F2"/>
    <w:rsid w:val="00D446D6"/>
    <w:rsid w:val="00D46A94"/>
    <w:rsid w:val="00D50F9C"/>
    <w:rsid w:val="00D53C54"/>
    <w:rsid w:val="00D57896"/>
    <w:rsid w:val="00D61533"/>
    <w:rsid w:val="00D65F71"/>
    <w:rsid w:val="00DA74DF"/>
    <w:rsid w:val="00E03CEB"/>
    <w:rsid w:val="00E042DD"/>
    <w:rsid w:val="00E0731C"/>
    <w:rsid w:val="00E26FB5"/>
    <w:rsid w:val="00E32FC1"/>
    <w:rsid w:val="00E349D1"/>
    <w:rsid w:val="00E36BF5"/>
    <w:rsid w:val="00E5386C"/>
    <w:rsid w:val="00E72D29"/>
    <w:rsid w:val="00E859CA"/>
    <w:rsid w:val="00E92EF1"/>
    <w:rsid w:val="00EB09CD"/>
    <w:rsid w:val="00EE24FC"/>
    <w:rsid w:val="00EE3884"/>
    <w:rsid w:val="00F06EA1"/>
    <w:rsid w:val="00F22C00"/>
    <w:rsid w:val="00F239D1"/>
    <w:rsid w:val="00F305BF"/>
    <w:rsid w:val="00F470E5"/>
    <w:rsid w:val="00F514F4"/>
    <w:rsid w:val="00F67DE7"/>
    <w:rsid w:val="00F70200"/>
    <w:rsid w:val="00FB1647"/>
    <w:rsid w:val="00FC5FAE"/>
    <w:rsid w:val="00FC690A"/>
    <w:rsid w:val="00FC735F"/>
    <w:rsid w:val="00FC7502"/>
    <w:rsid w:val="00FD5EDA"/>
    <w:rsid w:val="00FF0E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26B6C"/>
  <w15:chartTrackingRefBased/>
  <w15:docId w15:val="{2524A5A5-3823-4516-A8E9-088B5631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570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647"/>
    <w:pPr>
      <w:tabs>
        <w:tab w:val="center" w:pos="4252"/>
        <w:tab w:val="right" w:pos="8504"/>
      </w:tabs>
    </w:pPr>
  </w:style>
  <w:style w:type="character" w:customStyle="1" w:styleId="EncabezadoCar">
    <w:name w:val="Encabezado Car"/>
    <w:basedOn w:val="Fuentedeprrafopredeter"/>
    <w:link w:val="Encabezado"/>
    <w:uiPriority w:val="99"/>
    <w:rsid w:val="00FB1647"/>
  </w:style>
  <w:style w:type="paragraph" w:styleId="Piedepgina">
    <w:name w:val="footer"/>
    <w:basedOn w:val="Normal"/>
    <w:link w:val="PiedepginaCar"/>
    <w:uiPriority w:val="99"/>
    <w:unhideWhenUsed/>
    <w:rsid w:val="00FB1647"/>
    <w:pPr>
      <w:tabs>
        <w:tab w:val="center" w:pos="4252"/>
        <w:tab w:val="right" w:pos="8504"/>
      </w:tabs>
    </w:pPr>
  </w:style>
  <w:style w:type="character" w:customStyle="1" w:styleId="PiedepginaCar">
    <w:name w:val="Pie de página Car"/>
    <w:basedOn w:val="Fuentedeprrafopredeter"/>
    <w:link w:val="Piedepgina"/>
    <w:uiPriority w:val="99"/>
    <w:rsid w:val="00FB1647"/>
  </w:style>
  <w:style w:type="table" w:styleId="Tablaconcuadrcula">
    <w:name w:val="Table Grid"/>
    <w:basedOn w:val="Tablanormal"/>
    <w:uiPriority w:val="39"/>
    <w:rsid w:val="00FB1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F5A3A"/>
    <w:pPr>
      <w:widowControl w:val="0"/>
      <w:suppressAutoHyphens/>
      <w:spacing w:after="120" w:line="240" w:lineRule="auto"/>
      <w:jc w:val="center"/>
      <w:textAlignment w:val="center"/>
    </w:pPr>
    <w:rPr>
      <w:rFonts w:ascii="Arial" w:eastAsia="DejaVuSans" w:hAnsi="Arial"/>
      <w:kern w:val="1"/>
      <w:szCs w:val="24"/>
    </w:rPr>
  </w:style>
  <w:style w:type="character" w:customStyle="1" w:styleId="TextoindependienteCar">
    <w:name w:val="Texto independiente Car"/>
    <w:basedOn w:val="Fuentedeprrafopredeter"/>
    <w:link w:val="Textoindependiente"/>
    <w:rsid w:val="003F5A3A"/>
    <w:rPr>
      <w:rFonts w:ascii="Arial" w:eastAsia="DejaVuSans" w:hAnsi="Arial" w:cs="Times New Roman"/>
      <w:kern w:val="1"/>
      <w:szCs w:val="24"/>
    </w:rPr>
  </w:style>
  <w:style w:type="character" w:styleId="Textoennegrita">
    <w:name w:val="Strong"/>
    <w:qFormat/>
    <w:rsid w:val="003F5A3A"/>
    <w:rPr>
      <w:b/>
      <w:bCs/>
    </w:rPr>
  </w:style>
  <w:style w:type="paragraph" w:customStyle="1" w:styleId="Textoindependiente21">
    <w:name w:val="Texto independiente 21"/>
    <w:basedOn w:val="Normal"/>
    <w:rsid w:val="003F5A3A"/>
    <w:pPr>
      <w:overflowPunct w:val="0"/>
      <w:autoSpaceDE w:val="0"/>
      <w:autoSpaceDN w:val="0"/>
      <w:adjustRightInd w:val="0"/>
      <w:spacing w:after="0" w:line="240" w:lineRule="auto"/>
      <w:ind w:left="2124"/>
      <w:jc w:val="both"/>
      <w:textAlignment w:val="baseline"/>
    </w:pPr>
    <w:rPr>
      <w:rFonts w:ascii="CG Times" w:eastAsia="Times New Roman" w:hAnsi="CG Times"/>
      <w:i/>
      <w:sz w:val="28"/>
      <w:szCs w:val="20"/>
      <w:lang w:val="es-ES_tradnl" w:eastAsia="es-ES"/>
    </w:rPr>
  </w:style>
  <w:style w:type="character" w:styleId="Refdenotaalpie">
    <w:name w:val="footnote reference"/>
    <w:semiHidden/>
    <w:rsid w:val="003F5A3A"/>
    <w:rPr>
      <w:vertAlign w:val="superscript"/>
    </w:rPr>
  </w:style>
  <w:style w:type="paragraph" w:styleId="Textonotapie">
    <w:name w:val="footnote text"/>
    <w:basedOn w:val="Normal"/>
    <w:link w:val="TextonotapieCar"/>
    <w:semiHidden/>
    <w:rsid w:val="003F5A3A"/>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basedOn w:val="Fuentedeprrafopredeter"/>
    <w:link w:val="Textonotapie"/>
    <w:semiHidden/>
    <w:rsid w:val="003F5A3A"/>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6C5CCC"/>
    <w:pPr>
      <w:ind w:left="720"/>
      <w:contextualSpacing/>
    </w:pPr>
  </w:style>
  <w:style w:type="paragraph" w:customStyle="1" w:styleId="CUERPOTEXTO">
    <w:name w:val="CUERPO TEXTO"/>
    <w:rsid w:val="006C5CCC"/>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eastAsia="es-CO"/>
    </w:rPr>
  </w:style>
  <w:style w:type="paragraph" w:styleId="Textodeglobo">
    <w:name w:val="Balloon Text"/>
    <w:basedOn w:val="Normal"/>
    <w:link w:val="TextodegloboCar"/>
    <w:uiPriority w:val="99"/>
    <w:semiHidden/>
    <w:unhideWhenUsed/>
    <w:rsid w:val="001700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00CA"/>
    <w:rPr>
      <w:rFonts w:ascii="Segoe UI" w:eastAsia="Calibri" w:hAnsi="Segoe UI" w:cs="Segoe UI"/>
      <w:sz w:val="18"/>
      <w:szCs w:val="18"/>
    </w:rPr>
  </w:style>
  <w:style w:type="paragraph" w:styleId="NormalWeb">
    <w:name w:val="Normal (Web)"/>
    <w:basedOn w:val="Normal"/>
    <w:uiPriority w:val="99"/>
    <w:semiHidden/>
    <w:unhideWhenUsed/>
    <w:rsid w:val="00870C47"/>
    <w:pPr>
      <w:spacing w:before="100" w:beforeAutospacing="1" w:after="100" w:afterAutospacing="1" w:line="240" w:lineRule="auto"/>
    </w:pPr>
    <w:rPr>
      <w:rFonts w:ascii="Times New Roman" w:eastAsia="Times New Roman" w:hAnsi="Times New Roman"/>
      <w:sz w:val="24"/>
      <w:szCs w:val="24"/>
      <w:lang w:eastAsia="es-CO"/>
    </w:rPr>
  </w:style>
  <w:style w:type="table" w:customStyle="1" w:styleId="Calendario2">
    <w:name w:val="Calendario 2"/>
    <w:basedOn w:val="Tablanormal"/>
    <w:uiPriority w:val="99"/>
    <w:qFormat/>
    <w:rsid w:val="005E0BFF"/>
    <w:pPr>
      <w:jc w:val="center"/>
    </w:pPr>
    <w:rPr>
      <w:rFonts w:eastAsiaTheme="minorEastAsia"/>
      <w:sz w:val="28"/>
      <w:szCs w:val="28"/>
      <w:lang w:eastAsia="es-CO"/>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character" w:styleId="Textodelmarcadordeposicin">
    <w:name w:val="Placeholder Text"/>
    <w:basedOn w:val="Fuentedeprrafopredeter"/>
    <w:uiPriority w:val="99"/>
    <w:semiHidden/>
    <w:rsid w:val="005E0BFF"/>
    <w:rPr>
      <w:color w:val="808080"/>
    </w:rPr>
  </w:style>
  <w:style w:type="character" w:styleId="Nmerodepgina">
    <w:name w:val="page number"/>
    <w:basedOn w:val="Fuentedeprrafopredeter"/>
    <w:rsid w:val="005E0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6975">
      <w:bodyDiv w:val="1"/>
      <w:marLeft w:val="0"/>
      <w:marRight w:val="0"/>
      <w:marTop w:val="0"/>
      <w:marBottom w:val="0"/>
      <w:divBdr>
        <w:top w:val="none" w:sz="0" w:space="0" w:color="auto"/>
        <w:left w:val="none" w:sz="0" w:space="0" w:color="auto"/>
        <w:bottom w:val="none" w:sz="0" w:space="0" w:color="auto"/>
        <w:right w:val="none" w:sz="0" w:space="0" w:color="auto"/>
      </w:divBdr>
    </w:div>
    <w:div w:id="210269120">
      <w:bodyDiv w:val="1"/>
      <w:marLeft w:val="0"/>
      <w:marRight w:val="0"/>
      <w:marTop w:val="0"/>
      <w:marBottom w:val="0"/>
      <w:divBdr>
        <w:top w:val="none" w:sz="0" w:space="0" w:color="auto"/>
        <w:left w:val="none" w:sz="0" w:space="0" w:color="auto"/>
        <w:bottom w:val="none" w:sz="0" w:space="0" w:color="auto"/>
        <w:right w:val="none" w:sz="0" w:space="0" w:color="auto"/>
      </w:divBdr>
    </w:div>
    <w:div w:id="345598797">
      <w:bodyDiv w:val="1"/>
      <w:marLeft w:val="0"/>
      <w:marRight w:val="0"/>
      <w:marTop w:val="0"/>
      <w:marBottom w:val="0"/>
      <w:divBdr>
        <w:top w:val="none" w:sz="0" w:space="0" w:color="auto"/>
        <w:left w:val="none" w:sz="0" w:space="0" w:color="auto"/>
        <w:bottom w:val="none" w:sz="0" w:space="0" w:color="auto"/>
        <w:right w:val="none" w:sz="0" w:space="0" w:color="auto"/>
      </w:divBdr>
    </w:div>
    <w:div w:id="629287248">
      <w:bodyDiv w:val="1"/>
      <w:marLeft w:val="0"/>
      <w:marRight w:val="0"/>
      <w:marTop w:val="0"/>
      <w:marBottom w:val="0"/>
      <w:divBdr>
        <w:top w:val="none" w:sz="0" w:space="0" w:color="auto"/>
        <w:left w:val="none" w:sz="0" w:space="0" w:color="auto"/>
        <w:bottom w:val="none" w:sz="0" w:space="0" w:color="auto"/>
        <w:right w:val="none" w:sz="0" w:space="0" w:color="auto"/>
      </w:divBdr>
    </w:div>
    <w:div w:id="639579099">
      <w:bodyDiv w:val="1"/>
      <w:marLeft w:val="0"/>
      <w:marRight w:val="0"/>
      <w:marTop w:val="0"/>
      <w:marBottom w:val="0"/>
      <w:divBdr>
        <w:top w:val="none" w:sz="0" w:space="0" w:color="auto"/>
        <w:left w:val="none" w:sz="0" w:space="0" w:color="auto"/>
        <w:bottom w:val="none" w:sz="0" w:space="0" w:color="auto"/>
        <w:right w:val="none" w:sz="0" w:space="0" w:color="auto"/>
      </w:divBdr>
    </w:div>
    <w:div w:id="946890808">
      <w:bodyDiv w:val="1"/>
      <w:marLeft w:val="0"/>
      <w:marRight w:val="0"/>
      <w:marTop w:val="0"/>
      <w:marBottom w:val="0"/>
      <w:divBdr>
        <w:top w:val="none" w:sz="0" w:space="0" w:color="auto"/>
        <w:left w:val="none" w:sz="0" w:space="0" w:color="auto"/>
        <w:bottom w:val="none" w:sz="0" w:space="0" w:color="auto"/>
        <w:right w:val="none" w:sz="0" w:space="0" w:color="auto"/>
      </w:divBdr>
    </w:div>
    <w:div w:id="948583052">
      <w:bodyDiv w:val="1"/>
      <w:marLeft w:val="0"/>
      <w:marRight w:val="0"/>
      <w:marTop w:val="0"/>
      <w:marBottom w:val="0"/>
      <w:divBdr>
        <w:top w:val="none" w:sz="0" w:space="0" w:color="auto"/>
        <w:left w:val="none" w:sz="0" w:space="0" w:color="auto"/>
        <w:bottom w:val="none" w:sz="0" w:space="0" w:color="auto"/>
        <w:right w:val="none" w:sz="0" w:space="0" w:color="auto"/>
      </w:divBdr>
    </w:div>
    <w:div w:id="1057972675">
      <w:bodyDiv w:val="1"/>
      <w:marLeft w:val="0"/>
      <w:marRight w:val="0"/>
      <w:marTop w:val="0"/>
      <w:marBottom w:val="0"/>
      <w:divBdr>
        <w:top w:val="none" w:sz="0" w:space="0" w:color="auto"/>
        <w:left w:val="none" w:sz="0" w:space="0" w:color="auto"/>
        <w:bottom w:val="none" w:sz="0" w:space="0" w:color="auto"/>
        <w:right w:val="none" w:sz="0" w:space="0" w:color="auto"/>
      </w:divBdr>
    </w:div>
    <w:div w:id="1828662987">
      <w:bodyDiv w:val="1"/>
      <w:marLeft w:val="0"/>
      <w:marRight w:val="0"/>
      <w:marTop w:val="0"/>
      <w:marBottom w:val="0"/>
      <w:divBdr>
        <w:top w:val="none" w:sz="0" w:space="0" w:color="auto"/>
        <w:left w:val="none" w:sz="0" w:space="0" w:color="auto"/>
        <w:bottom w:val="none" w:sz="0" w:space="0" w:color="auto"/>
        <w:right w:val="none" w:sz="0" w:space="0" w:color="auto"/>
      </w:divBdr>
    </w:div>
    <w:div w:id="191735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D4E46B62C893D4E926FE1B8BB2FD39D" ma:contentTypeVersion="10" ma:contentTypeDescription="Crear nuevo documento." ma:contentTypeScope="" ma:versionID="c25d15192f303d794a83c342fc79eda4">
  <xsd:schema xmlns:xsd="http://www.w3.org/2001/XMLSchema" xmlns:xs="http://www.w3.org/2001/XMLSchema" xmlns:p="http://schemas.microsoft.com/office/2006/metadata/properties" xmlns:ns3="6b3726d4-f472-485e-aa89-e73581be72bc" xmlns:ns4="78164f26-047b-4454-9c10-974bd6af363a" targetNamespace="http://schemas.microsoft.com/office/2006/metadata/properties" ma:root="true" ma:fieldsID="698318f8035ab80f5f61e4070f21844f" ns3:_="" ns4:_="">
    <xsd:import namespace="6b3726d4-f472-485e-aa89-e73581be72bc"/>
    <xsd:import namespace="78164f26-047b-4454-9c10-974bd6af36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726d4-f472-485e-aa89-e73581be72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164f26-047b-4454-9c10-974bd6af363a"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96CF6-B8ED-4A03-AFA2-8FF5D810DD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3025DB-87DC-40FB-8414-9D6B760DF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726d4-f472-485e-aa89-e73581be72bc"/>
    <ds:schemaRef ds:uri="78164f26-047b-4454-9c10-974bd6af3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07AD5-674D-4389-B08B-A1F924EE2593}">
  <ds:schemaRefs>
    <ds:schemaRef ds:uri="http://schemas.microsoft.com/sharepoint/v3/contenttype/forms"/>
  </ds:schemaRefs>
</ds:datastoreItem>
</file>

<file path=customXml/itemProps4.xml><?xml version="1.0" encoding="utf-8"?>
<ds:datastoreItem xmlns:ds="http://schemas.openxmlformats.org/officeDocument/2006/customXml" ds:itemID="{3D1E6E01-BFF8-47E4-815F-42055EB3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784</Words>
  <Characters>4317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Ficha De Depuración Contable</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Depuración Contable</dc:title>
  <dc:subject/>
  <dc:creator>Luis Alejandro Pulido Porras</dc:creator>
  <cp:keywords>GCFL01</cp:keywords>
  <dc:description/>
  <cp:lastModifiedBy>Omar Alejandro Peña Gomez</cp:lastModifiedBy>
  <cp:revision>12</cp:revision>
  <cp:lastPrinted>2019-10-01T16:44:00Z</cp:lastPrinted>
  <dcterms:created xsi:type="dcterms:W3CDTF">2019-10-02T20:24:00Z</dcterms:created>
  <dcterms:modified xsi:type="dcterms:W3CDTF">2019-10-09T19:50:00Z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a9d169b6-31c1-4e3f-9eb1-cb1681ec4910</vt:lpwstr>
  </property>
  <property fmtid="{D5CDD505-2E9C-101B-9397-08002B2CF9AE}" pid="3" name="ContentTypeId">
    <vt:lpwstr>0x010100BD4E46B62C893D4E926FE1B8BB2FD39D</vt:lpwstr>
  </property>
  <property fmtid="{D5CDD505-2E9C-101B-9397-08002B2CF9AE}" pid="4" name="Grupo_Objetivo">
    <vt:lpwstr>Usuarios</vt:lpwstr>
  </property>
  <property fmtid="{D5CDD505-2E9C-101B-9397-08002B2CF9AE}" pid="5" name="Publicado">
    <vt:bool>true</vt:bool>
  </property>
  <property fmtid="{D5CDD505-2E9C-101B-9397-08002B2CF9AE}" pid="6" name="Tematica">
    <vt:lpwstr>formato, Registro, Formato, Ficha, Depuración, Contable,  GCFL01,  Proceso, Gestión, Contable, Gestión, financiera, Secretaria, general, subdirección, Financiera.</vt:lpwstr>
  </property>
</Properties>
</file>